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48</w:t>
      </w:r>
    </w:p>
    <w:p>
      <w:r>
        <w:t>Bundesgericht (BGE), 1962-01-01, DE</w:t>
      </w:r>
    </w:p>
    <w:p>
      <w:r>
        <w:rPr>
          <w:b/>
        </w:rPr>
        <w:t xml:space="preserve">Quelle: </w:t>
      </w:r>
      <w:r>
        <w:t>https://mcp.opencaselaw.ch/entscheid/bge_BGE_88_I_48</w:t>
      </w:r>
    </w:p>
    <w:p>
      <w:r>
        <w:t>FR: ATF 88 I 48</w:t>
      </w:r>
    </w:p>
    <w:p>
      <w:r>
        <w:t>IT: DTF 88 I 48</w:t>
      </w:r>
    </w:p>
    <w:p>
      <w:pPr>
        <w:pStyle w:val="Heading2"/>
      </w:pPr>
      <w:r>
        <w:t>Regeste</w:t>
      </w:r>
    </w:p>
    <w:p>
      <w:r>
        <w:t>Regeste Scheidung schweizerischer Ehegatten im Ausland, Art. 7 g Abs. 3 NAG. Die Verstossung einer schweizerischen Ehefrau durch den ägyptischen Ehemann nach ägyptischem Recht wird in der Schweiz nicht anerkannt und eingetragen, selbst wenn die Frau mit der "Scheidung" einverstanden war und die Eintragung verlangt.</w:t>
      </w:r>
    </w:p>
    <w:p>
      <w:r>
        <w:t>Regeste Divorce d'époux suisses à l'étranger, art. 7 g al. 3 LRDC. La répudiation, selon le droit égyptien, d'une épouse suisse par un mari égyptien n'est pas reconnue en Suisse ni inscrite, même si l'épouse a consenti au "divorce" et requiert l'inscription.</w:t>
      </w:r>
    </w:p>
    <w:p>
      <w:r>
        <w:t>Regesto Divorzio di coniugi svizzeri all'estero. Art. 7 g cpv. 3 LR. Il ripudio, secondo il diritto egiziano, di una moglie svizzera da parte di un marito egiziano, non è riconosciuto in Svizzera nè iscritto, anche se la moglie ha consentito al "divorzio" e ne chiede l'iscrizione.</w:t>
      </w:r>
    </w:p>
    <w:p>
      <w:pPr>
        <w:pStyle w:val="Heading2"/>
      </w:pPr>
      <w:r>
        <w:t>Erwägungen</w:t>
      </w:r>
    </w:p>
    <w:p>
      <w:r>
        <w:rPr>
          <w:b/>
        </w:rPr>
        <w:t>E. 1</w:t>
      </w:r>
    </w:p>
    <w:p>
      <w:r>
        <w:t>(Frage des Wohnsitzes der Ehefrau zur Zeit der "Scheidung": in Zürich oder in Ägypten?)</w:t>
      </w:r>
    </w:p>
    <w:p>
      <w:r>
        <w:rPr>
          <w:b/>
        </w:rPr>
        <w:t>E. 2</w:t>
      </w:r>
    </w:p>
    <w:p>
      <w:r>
        <w:t>Es kann indessen dahingestellt bleiben, ob diese Umstände ausreichen, um für Ende Oktober 1960 einen schweizerischen Wohnsitz der Beschwerdeführerin anzunehmen, der auch schon als ihr Scheidungsgerichtsstand genügt hätte. Selbst wenn die Beschwerdeführerin noch in Ägypten Wohnsitz gehabt hätte, fehlt es an andern Voraussetzungen zur Anerkennung. Art. 7 g Abs. 3 NAG setzt voraus, dass die Scheidung durch ein (zuständiges) Gericht ausgesprochen worden sei. Nach der Praxis ist dabei "Gericht" im weiteren Sinne von "Behörde" zu verstehen. Wenn die lex fori eine Verwaltungsbehörde für die Scheidung zuständig erklärt, so ist die von ihr ausgesprochene der gerichtlichen Scheidung gleichzuhalten. Das Gleiche gilt für Konsulargerichte bezw. -Behörden (vgl. Kommentare zu Art. 7 g NAG : STAUFFER, N. 4, BECK, N. 130 und dortige Zitate). Dabei ist jedoch vorausgesetzt, dass der zuständigen Behörde eine entscheidende Mitwirkung zukomme, also die Befugnis einer Prüfung der materiellrechtlichen Grundlagen der Scheidung und die Befugnis der Gutheissung oder Abweisung des Scheidungsbegehrens, BGE 88 I 48 S. 51 sodass im Falle der Gutheissung die Scheidung von der Behörde ausgesprochen ist, ihre konstitutive Kraft von deren behördlicher Autorität bezieht. Das Eherecht der VAR für Ägypten kennt die Auflösung der Ehe durch Verstossung und durch "Scheidung zufolge gegenseitigen Einverständnisses" (BERGMANN, Internationales Ehe- und Kindschaftsrecht, S. 48, 56). Die Verstossung kann eine widerrufliche (radjii) oder unwiderrufliche (baïn) sein; unwiderruflich und endgültig ist sie dann, wenn sie dreimal erfolgt oder wenn beim ersten Mal bestimmte Formeln verwendet werden (Art. 226 des ägypt. Gesetzbuches über das Personenrecht und die Erbfolge... von 1875). Die widerrufliche Verstossung wird jedoch mit dem Ende des 10. Tages nach der Wartezeit (Ende der 3. Menstruation der Frau) endgültig (baïn; Art. 241 des Gesetzbuches; BERGMANN S. 51). Die Wendung in der Übersetzung des "Certificat de divorce" von Moskau "Le divorce demandé est susceptible d'être annulé ou renouvelé" zeigt, dass es sich um eine Verstossung - vorerst radjii - handelte, die gemäss Art. 241 baïn wurde. Die Verstossung wird durch einseitige Erklärung des Ehemannes ausgesprochen. Der Konsularbeamte der VAR in Moskau hat einfach die Erklärung des Ehemannes entgegengenommen und darüber unter Beizug von zwei Zeugen das "Certificat de divorce" erstellt, wonach die Scheidung erfolgt sei. Es hat mithin weder ein kontradiktorisches Scheidungsverfahren stattgefunden, in dem die Ehefrau sich hätte verteidigen können, noch wurde geprüft, ob ein Scheidungsgrund (nach ägyptischem Recht) vorlag, noch hat eine Behörde ein Urteil gefällt und die Scheidung ausgesprochen. (Übrigens verhält es sich bei der "Scheidung durch gegenseitiges Einverständnis" gemäss Art. 273 ff. des Gesetzbuches nicht anders, bezüglich deren Art. 278 Abs. 2 sagt: "Sie kann gültig durch den Mann ausgesprochen werden, ohne dass es einer gerichtlichen Handlung bedarf"; BERGMANN, S. 56). Nach ständiger Rechtsprechung darf die Anerkennung BGE 88 I 48 S. 52 gemäss Art. 7 g Abs. 3 NAG auf solche Eheauflösung durch einseitige Verstossung nicht ausgedehnt werden (BECK, zu Art. 7 g N. 131 und dortige Hinweise). Die Verstossung ohne jedes Recht der Verteidigung vor einer erkennenden Behörde ist mit den Grundprinzipien der schweizerischen Rechtsordnung unvereinbar (vgl. BGE 74 II 56 f., 85 I 47). Dass in casu die Beschwerdeführerin den Vorbehalt des schweizerischen ordre public nicht anruft, sondern im Gegenteil die Anerkennung der Eheauflösung verlangt, kann dieser Beurteilung nicht entgegenstehen. Die Verstossung widerspricht schon rein begrifflich der in Art. 7 g Abs. 3 NAG genannten doppelten Voraussetzung, dass die Scheidung durch ein Gericht, d.h. eine erkennende Behörde ausgesprochen, also nicht bloss vor einer lediglich registrierenden Amtsperson durch eine Partei erklärt worden sei. Die gegenteilige Auffassung lässt sich auch nicht aus der allgemeinen ratio legis dieser Bestimmung ableiten. Indem sie bestimmt, dass eine im Ausland ausgesprochene Scheidung dort domizilierter Schweizer auch dann anerkannt wird, wenn die Scheidung nach schweizerischem Recht nicht begründet gewesen wäre, bringt sie den Gedanken zum Ausdruck, dass unsere eherechtlichen Auffassungen gegenüber ausländischen Scheidungsurteilen im Interesse einer liberalen Handhabung des internat. Privatrechts weitgehend zurückzutreten haben (vgl. STAUFFER, a.a.O., N. 7). Diese Zurückhaltung bezieht sich indessen auf die materiellrechtlichen Scheidungsgründe nach ausländischem Recht. In casu weiss man von einem "Scheidungs" - Grund überhaupt nichts; es ist die Institution der willkürlichen Verstossung als solche sowie das bezügliche Verfahren, die sich nicht unter Art. 7 g Abs. 3 NAG subsumieren lassen.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