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331</w:t>
      </w:r>
    </w:p>
    <w:p>
      <w:r>
        <w:t>Bundesgericht (BGE), 1962-12-21, DE</w:t>
      </w:r>
    </w:p>
    <w:p>
      <w:r>
        <w:rPr>
          <w:b/>
        </w:rPr>
        <w:t xml:space="preserve">Quelle: </w:t>
      </w:r>
      <w:r>
        <w:t>https://mcp.opencaselaw.ch/entscheid/bge_BGE_88_I_331</w:t>
      </w:r>
    </w:p>
    <w:p>
      <w:r>
        <w:t>FR: ATF 88 I 331</w:t>
      </w:r>
    </w:p>
    <w:p>
      <w:r>
        <w:t>IT: DTF 88 I 331</w:t>
      </w:r>
    </w:p>
    <w:p>
      <w:pPr>
        <w:pStyle w:val="Heading2"/>
      </w:pPr>
      <w:r>
        <w:t>Regeste</w:t>
      </w:r>
    </w:p>
    <w:p>
      <w:r>
        <w:t>Regeste Einspruch gegen Liegenschaftskäufe. 1. Beschwerdegründe (Erw. 1). 2. Das Einspruchsverfahren ist auch auf Kleinheimwesen anwendbar (Erw. 2). 3. Kauf zur Erfüllung öffentlicher Aufgaben? (Erw. 2). 4. Begriff der Spekulation. Fall einer Bauunternehmung, die den gekauften Boden zum Eintausch von Bauland verwenden will (Erw. 3).</w:t>
      </w:r>
    </w:p>
    <w:p>
      <w:r>
        <w:t>Regeste Opposition contre des achats de biens-fonds. 1. Motifs de recours (consid. 1). 2. La voie de l'opposition est aussi ouverte en cas de vente de petits domaines (consid. 2). 3. Achat pour l'accomplissement de tâches publiques? (consid. 2). 4. Définition de la spéculation. Cas d'une entreprise de construction qui veut employer le terrain acheté pour l'échanger contre du terrain à bâtir (consid. 3).</w:t>
      </w:r>
    </w:p>
    <w:p>
      <w:r>
        <w:t>Regesto Opposizione in materia di vendite di beni immobili. 1. Motivi di ricorso (consid. 1). 2. La procedura di opposizione è applicabile anche alla vendita di piccole proprietà fondiarie agricole (consid. 2). 3. Acquisto per l'adempimento di compiti pubblici? (consid. 2). 4. Nozione di speculazione. Caso di un'impresa di costruzione che intende utilizzare il terreno acquistato per permutarlo con terreno da costruzione (consid. 3).</w:t>
      </w:r>
    </w:p>
    <w:p>
      <w:pPr>
        <w:pStyle w:val="Heading2"/>
      </w:pPr>
      <w:r>
        <w:t>Erwägungen</w:t>
      </w:r>
    </w:p>
    <w:p>
      <w:r>
        <w:rPr>
          <w:b/>
        </w:rPr>
        <w:t>E. 1</w:t>
      </w:r>
    </w:p>
    <w:p>
      <w:r>
        <w:t>Gemäss Art. 104 Abs. 1 OG kann mit der Verwaltungsgerichtsbeschwerde nur Verletzung von Bundesrecht geltend gemacht werden. Das tut die Beschwerdeführerin insoweit, als sie behauptet, der angefochtene Entscheid verstosse gegen Art. 19 Abs. 1 lit. a und c EGG , indem er offensichtliche Spekulation (lit. a) annehme und das Vorliegen eines wichtigen Grundes (lit. c) verneine. Auf diese Rügen ist einzutreten. Dagegen wird mit dem Vorwurf, der Regierungsrat habe zu Unrecht den erst fünf Monate nach dem Kaufvertrag abgeschlossenen Vorvertrag mit der Einwohnergemeinde betreffend den Landabtausch in das Verfahren einbezogen, keine Verletzung von Bundesrecht geltend gemacht. Die Beschwerdeführerin beruft sich auf keine bundesrechtliche Bestimmung, welche dieses Vorgehen ausschliessen würde, und es ist auch keine ersichtlich. Das Bundesrecht ( Art. 20 Abs. 2 und Art. 44 EGG ) überlässt die nähere Ordnung des Einspruchsverfahrens den Kantonen. Ob eine Bestimmung des kantonalen Rechtes verletzt sei, hat das Bundesgericht nicht zu prüfen. Die Beschwerdeführerin nennt übrigens keine solche Bestimmung, und nach der Antwort des Regierungsrates schreibt vielmehr Art. 40 des kantonalen Verwaltungsrechtspflegegesetzes die Berücksichtigung des im Zeitpunkt des Entscheides vorliegenden BGE 88 I 331 S. 334 Sachverhaltes vor. Auf diese Rüge betreffend das Verfahren ist nicht einzutreten.</w:t>
      </w:r>
    </w:p>
    <w:p>
      <w:r>
        <w:rPr>
          <w:b/>
        </w:rPr>
        <w:t>E. 2</w:t>
      </w:r>
    </w:p>
    <w:p>
      <w:r>
        <w:t>Vor Bundesgericht bestreitet die Beschwerdeführerin nicht mehr, dass das Kaufsobjekt ein landwirtschaftliches Heimwesen im Sinne des Art. 19 EGG ist. Mit Recht; denn diese Bestimmung ist auch auf Kleinheimwesen anwendbar, die für sich allein eine Familie nicht zu ernähren vermögen ( BGE 80 I 96 , 412; BGE 81 I 109 , 254). Wohl können die Kantone nach Art. 21 Abs. 2 EGG Liegenschaften bis zu 3 ha vom Einspruchsverfahren ausnehmen; doch hat der Kanton Bern gestützt auf diese Bestimmung Ausnahmen nur für einmalige Kaufverträge zum Zwecke der Arrondierung über Liegenschaften bis zu 36 a und für einmalige Kaufverträge bis zu 18 a (oder bis zu einem halben Kuhrecht) vorgesehen (Art. 8 Einführungsgesetz). Das Heimwesen der Frau Kunz umfasst 274,32 a und ist als Ganzes verkauft worden. Es steht, obwohl es klein ist, unter dem Schutze des Art. 19 EGG . Mit Recht macht die Beschwerdeführerin auch nicht geltend, das Einspruchsverfahren sei, wie der Regierungsstatthalter angenommen hat, nach Art. 21 Abs. 1 lit. b EGG nicht anwendbar, weil durch den Vorvertrag mit der Gemeinde das Land zur Erfüllung öffentlicher Aufgaben bestimmt worden sei. Abgesehen davon, dass aus den Akten nicht ersichtlich ist, für welche Zwecke die Gemeinde das Land erwerben will, könnte jene Bestimmung nur auf einen direkten Verkauf an die Gemeinde angewendet werden, nicht aber auf den Kaufvertrag der Frau Kunz mit der Beschwerdeführerin, um den es sich hier handelt. Die Beschwerdeführerin hat das Land nicht zur Erfüllung öffentlicher Aufgaben gekauft, sondern in ihrem geschäftlichen Interesse, als Tauschobjekt für die spätere Gewinnung von Bauland.</w:t>
      </w:r>
    </w:p>
    <w:p>
      <w:r>
        <w:rPr>
          <w:b/>
        </w:rPr>
        <w:t>E. 3</w:t>
      </w:r>
    </w:p>
    <w:p>
      <w:r>
        <w:t>Nach Art. 19 Abs. 1 lit. a EGG kann u.a. Einspruch erhoben werden, wenn jemand ein Heimwesen offensichtlich zum Zwecke der Spekulation erwirbt. Das Bundesgericht hat ursprünglich, in Anlehnung an den allgemeinen BGE 88 I 331 S. 335 Sprachgebrauch, Spekulation nur dann angenommen, wenn der Käufer das Land erwirbt, um es bei sich bietender Gelegenheit, möglichst bald, mit Gewinn weiterzuveräussern ( BGE 83 I 313 ). Sodann hat es den Begriff der Spekulation ausgedehnt auf Fälle, wo ein ansehnlicher Gewinn nicht durch Weiterveräusserung, wohl aber durch eine andere Verwendung des bisher landwirtschaftlich genutzten Bodens angestrebt wird, insbesondere durch sukzessive Überbauung und Vermietung der erstellten Wohnungen ( BGE 87 I 239 /40). Diese neue Praxis ist von Professor LIVER kritisiert worden (ZbJV Jg. 98 S. 439), und auch das Eidg. Justiz- und Polizeidepartement scheint sie nach seiner Vernehmlassung als unrichtig zu betrachten. Ob an ihr festzuhalten sei, braucht im vorliegenden Fall nicht entschieden zu werden, da hier Spekulation auch im Sinne der früheren Rechtsprechung vorliegt. Die Beschwerdeführerin hat nach ihrer eigenen Darstellung das Heimwesen der Frau Kunz gekauft, um den grössten Teil des Bodens als Tauschobjekt für von ihr begehrtes Bauland zu verwenden. Dabei macht es keinen Unterschied, ob ein Tausch im Laufe der Zeit gegenüber Landwirten geplant war, wie sie zuerst angegeben hat, oder schon bald gegenüber der Einwohnergemeinde Lyss, mit der sie nun einen darauf abzielenden Vorvertrag abgeschlossen hat. In beiden Fällen liegt in dem Tausch eine - von Anfang an beabsichtigte - Weiterveräusserung, die auf Gewinn gerichtet ist, indem das einzutauschende Bauland für das Geschäft der Beschwerdeführerin mehr wert ist als der landwirtschaftliche Boden der Frau Kunz. Das Argument der Beschwerdeführerin, ein solches Vorgehen falle in den Rahmen ihrer Geschäftstätigkeit und sei für ihr Unternehmen sogar notwendig, schlägt nicht durch; denn auch wenn es an sich zutrifft, schliesst es den spekulativen Charakter des Kaufs nicht aus, sondern zeigt nur, dass auch ein Bauunternehmen wie ein solches des Handels Spekulationen mit sich bringen kann. Sowohl nach dem zuerst angegebenen Motiv als auch nach dem dann BGE 88 I 331 S. 336 abgeschlossenen Tauschvorvertrag ist die Spekulationsabsicht offensichtlich, weshalb mit Recht der Einspruch auf Grund von Art. 19 Abs. 1 lit. a EGG geschützt worden ist.</w:t>
      </w:r>
    </w:p>
    <w:p>
      <w:r>
        <w:rPr>
          <w:b/>
        </w:rPr>
        <w:t>E. 4</w:t>
      </w:r>
    </w:p>
    <w:p>
      <w:r>
        <w:t>(Ausführungen betreffend Art. 19 Abs. 1 lit. c EGG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