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240</w:t>
      </w:r>
    </w:p>
    <w:p>
      <w:r>
        <w:t>Bundesgericht (BGE), 1962-11-28, DE</w:t>
      </w:r>
    </w:p>
    <w:p>
      <w:r>
        <w:rPr>
          <w:b/>
        </w:rPr>
        <w:t xml:space="preserve">Quelle: </w:t>
      </w:r>
      <w:r>
        <w:t>https://mcp.opencaselaw.ch/entscheid/bge_BGE_88_I_240</w:t>
      </w:r>
    </w:p>
    <w:p>
      <w:r>
        <w:t>FR: ATF 88 I 240</w:t>
      </w:r>
    </w:p>
    <w:p>
      <w:r>
        <w:t>IT: DTF 88 I 240</w:t>
      </w:r>
    </w:p>
    <w:p>
      <w:pPr>
        <w:pStyle w:val="Heading2"/>
      </w:pPr>
      <w:r>
        <w:t>Regeste</w:t>
      </w:r>
    </w:p>
    <w:p>
      <w:r>
        <w:t>Regeste Art. 46 Abs. 2 BV. Aufteilung des Gewinns eines interkantonalen Fabrikationsunternehmens. Voraussetzungen der Zuweisung eines Vorausanteils an den Kanton, in dem sich Sitz und Betriebsleitung befinden.</w:t>
      </w:r>
    </w:p>
    <w:p>
      <w:r>
        <w:t>Regeste Art. 46 al. 2 Cst. Répartition du bénéfice d'une entreprise de fabrication intercantonale. Conditions auxquelles une part de ce bénéfice peut, avant toute répartition, être attribuée au canton où se trouvent le siège et la direction de l'affaire.</w:t>
      </w:r>
    </w:p>
    <w:p>
      <w:r>
        <w:t>Regesto Art. 46 cpv. 2 CF. Ripartizione dell'utile di un'azienda di fabbricazione intercantonale. Condizioni alle quali una parte di questo utile può, prima di qualsiasi riparto, essere attribuita al Cantone in cui trovansi la sede e la direzione dell'impresa.</w:t>
      </w:r>
    </w:p>
    <w:p>
      <w:pPr>
        <w:pStyle w:val="Heading2"/>
      </w:pPr>
      <w:r>
        <w:t>Erwägungen</w:t>
      </w:r>
    </w:p>
    <w:p>
      <w:r>
        <w:rPr>
          <w:b/>
        </w:rPr>
        <w:t>E. 1</w:t>
      </w:r>
    </w:p>
    <w:p>
      <w:r>
        <w:t>Da die Beschwerdeführerin für das Jahr 1961 vom Kanton Solothurn für 85,92% und vom Kanton Wallis für 17,60%, zusammen also für mehr als 100% ihres Reingewinns besteuert wird, liegt offensichtlich eine nach Art. 46 Abs. 2 BV unzulässige Doppelbesteuerung vor. Ferner ist unbestritten, dass bei einem interkantonalen Unternehmen wie der Beschwerdeführerin, die sich in erster Linie mit der Fabrikation und mit dem Verkauf eigener Erzeugnisse und nur nebenbei mit dem Vertrieb fremder Produkte befasst, die Quote des Gesamtreingewinns, die jeder Kanton besteuern darf, nach der indirekten Methode auf Grund der sog. Erwerbsfaktoren zu bestimmen ist. Streitig ist einzig, ob die Quoten ausschliesslich auf Grund der Erwerbsfaktoren zu berechnen seien, oder ob vom Gesamtreingewinn ein Vorausanteil zugunsten des Sitzkantons Solothurn abzuziehen und nur der Rest nach Massgabe jener Faktoren zu verteilen sei.</w:t>
      </w:r>
    </w:p>
    <w:p>
      <w:r>
        <w:rPr>
          <w:b/>
        </w:rPr>
        <w:t>E. 2</w:t>
      </w:r>
    </w:p>
    <w:p>
      <w:r>
        <w:t>Der Umstand, dass der Kanton Wallis mit dem Abzug eines Vorausanteils von 20% für den Sitzkanton seit der Eröffnung des Fabrikbetriebs in St. Niklaus bis zum Jahre 1960 einverstanden war, hindert ihn nicht, sich diesem Abzug im Jahre 1961 zu widersetzen. Bei periodischen Steuern kommt einer Veranlagungsverfügung nur für die betreffende Periode Rechtskraft zu, und zwar auch insoweit, als sich der Entscheid auf die interkantonale Steuerausscheidung bezieht. Jeder Kanton ist daher frei, in einer spätern Periode tatsächliche oder rechtliche Verhältnisse anders als früher zu würdigen (vgl. die von LOCHER, Doppelbesteuerungsrecht, § 2 IV C Nr. 2 und 3 zitierten Urteile).</w:t>
      </w:r>
    </w:p>
    <w:p>
      <w:r>
        <w:rPr>
          <w:b/>
        </w:rPr>
        <w:t>E. 3</w:t>
      </w:r>
    </w:p>
    <w:p>
      <w:r>
        <w:t>Nach der bundesgerichtlichen Rechtsprechung ist bei einem interkantonalen Unternehmen der Sitzkanton dann berechtigt, einen Teil des Gesamtgewinns vorweg zu besteuern, wenn die Tätigkeit der in diesem Kanton befindlichen Zentralleitung und deren Einfluss auf das Geschäftsergebnis BGE 88 I 240 S. 245 infolge der für die Steuerausscheidung gewählten Methode nicht hinlänglich zum Ausdruck kommt (statt vieler BGE 58 I 24 , BGE 61 I 343 , BGE 71 I 341 , BGE 81 I 265 sowie die bei LOCHER a.a.O. § 8 II C 6 angeführten Urteile). Das trifft insbesondere bei Anwendung der direkten Methoden, der Gewinnverteilung nach Massgabe des Umsatzes oder der Gewinn- und Verlustrechnungen des Hauptsitzes und der einzelnen Niederlassungen, häufig zu, da die Tätigkeit der Zentralleitung sich nicht nur auf den Umsatz oder das Geschäftsergebnis des Hauptsitzes auswirkt, sondern einen wesentlichen Einfluss auch auf den Geschäftsgang der Niederlassungen ausübt. Bei der Steuerausscheidung nach Massgabe der Erwerbsfaktoren wird dagegen häufig nur ein kleiner Vorausanteil zuzusprechen oder ein solcher überhaupt abzulehnen sein, da in diesen Fällen die Tätigkeit der Zentralleitung oft im Faktor Kapital (durch ausschliessliche Zuweisung von Beteiligungen an den Hauptsitz) oder im Faktor Arbeit (durch Kapitalisierung der am Hauptsitz ausgerichteten Löhne des leitenden Personals, eventuell auch der Tantièmen) vollständig oder doch teilweise zum Ausdruck kommt (Urteil vom 20. September 1940 i.S. Sturzenegger AG, im Auszug bei LOCHER a.a.O. § 8 II C 6 Nr. 21; vgl. auch BGE 71 I 341 ). Im vorliegenden Falle besteht kein Grund, die sich aus den Erwerbsfaktoren ergebende Gewinnverteilung durch Zusprechung eines Vorausanteils an den Sitzkanton Solothurn zu berichtigen. Da die Fabrik in St. Niklaus keinerlei Selbständigkeit geniesst und vom Hauptsitz aus geleitet wird, kommt der dort befindlichen kaufmännischen und technischen Leitung im Rahmen des Gesamtbetriebs freilich erhöhte Bedeutung zu. Dieser tragen jedoch die Erwerbsfaktoren hinreichend Rechnung, da die kapitalisierten Gehälter und Löhne ein verhältnismässig hoher Posten (rund 4/5) in den Erwerbsfaktoren sind und der Sitzkanton überdies durch Zuweisung der gesamten (inzwischen allerdings wieder veräusserten) Beteiligungen begünstigt ist. BGE 88 I 240 S. 246 Der Einwand des Kantons Solothurn, mit den höheren Gehältern und Löhnen im Sitzkanton und der Zuweisung der Beteiligungen werde die Bedeutung der Geschäftsleitung nicht genügend berücksichtigt, hält nicht stich. Nach der von ihm angestellten Rechnung würde der Anteil des Kantons Solothurn immer noch 77,45% betragen, wenn man bei den Erwerbsfaktoren auch für den Hauptsitz die niedrigeren Durchschnittslöhne von St.Niklaus einsetzt und die Beteiligungen im Verhältnis der örtlich gebundenen Aktiven verteilt, was zeige, dass die höheren Gehälter und Löhne des leitenden Personals und die dem Hauptsitz zugewiesenen Beteiligungen nur eine Erhöhung des Anteils von Solothurn von 77,45% auf 82,40%, also nur um rund 5% zur Folge habe. Diese 5% sind jedoch, wie sich bei näherer Prüfung ergibt, mehr als ein Vorausanteil von 20%. Wenn man nämlich von einem Anteil des Kantons Solothurn nach Massgabe der Erwerbsfaktoren von 77,45% ausgeht und ihm einen Vorausanteil von 20% einräumt, so berechnet sich sein Anteil am Gesamtreingewinn wie folgt: Vorausanteil 20,00% 77,45% des Restes 61,96% zusammen 81,96% Bei gleichen Löhnen und Verteilung der Beteiligungen, aber Zuweisung eines Vorausanteils von 20% an den Sitzkanton ist dessen Anteil am Gesamtreingewinn somit niedriger als auf Grund der tatsächlichen, höheren Löhne des Hauptsitzes und der ihm zugewiesenen Beteiligungen, jedoch ohne Vorausanteil, sodass anzunehmen ist, die Bedeutung des Hauptsitzes komme in den Erwerbsfaktoren genügend zur Geltung und die Zusprechung eines Vorausanteils erübrige sich. Nicht viel anders verhält es sich, wenn die inzwischen wieder veräusserten Beteiligungen beim Hauptsitz belassen und nur die Gehälter und Löhne ausgeglichen werden. In diesem Falle berechnet sich die Quote Solothurns, da dann BGE 88 I 240 S. 247 der Anteil nach Massgabe der Erwerbsfaktoren, wie der Regierungsrat ausführt, 3,9% weniger, d.h. 78,50% statt 82,40% betragen würde, wie folgt: Vorausanteil 20,00% 78,50% des Restes 62,80% zusammen 82,80% Die Differenz zwischen diesen 82,80% und der unkorrigierten Quote von 82,40% ist so geringfügig, dass sich eine Berichtigung durch Zuweisung eines Vorausanteils von auch nur 5 oder 10% keinesfalls rechtfertigt. Bei Fabrikationsunternehmen, deren Verhältnisse sich mit denjenigen der Beschwerdeführerin vergleichen lassen, ist denn auch in der bisherigen Rechtsprechung jeweils von der Zusprechung eines Vorausanteils an den Sitzkanton abgesehen worden ( BGE 36 I 19 /20 und 26/27; nicht veröffentlichtes Urteil vom 22. Dezember 1937 i.S. Gebrüder Meier, Erw. 8, abgedruckt in ZBl 1938 S. 361). In den vom Regierungsrat des Kantons Solothurn angerufenen Fällen (LOCHER a.a.O. § 8 II C 6 Nr. 12 und 19), wo Vorausanteile von 20% zugesprochen wurden, lagen die Verhältnisse anders als hier, denn im Falle Mido SA (Urteil vom 8. April 1927) handelte es sich um ein Unternehmen, bei dem sich im Sitzkanton nur die Leitung, der gesamte Fabrikationsbetrieb dagegen im andern Kanton befand, während es sich im Falle Genossenschaft "Elektra Fraubrunnen" (Urteil vom 4. März 1938) um ein Elektrizitätswerk handelte.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