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190</w:t>
      </w:r>
    </w:p>
    <w:p>
      <w:r>
        <w:t>Bundesgericht (BGE), 1962-01-01, DE</w:t>
      </w:r>
    </w:p>
    <w:p>
      <w:r>
        <w:rPr>
          <w:b/>
        </w:rPr>
        <w:t xml:space="preserve">Quelle: </w:t>
      </w:r>
      <w:r>
        <w:t>https://mcp.opencaselaw.ch/entscheid/bge_BGE_88_I_190</w:t>
      </w:r>
    </w:p>
    <w:p>
      <w:r>
        <w:t>FR: ATF 88 I 190</w:t>
      </w:r>
    </w:p>
    <w:p>
      <w:r>
        <w:t>IT: DTF 88 I 190</w:t>
      </w:r>
    </w:p>
    <w:p>
      <w:pPr>
        <w:pStyle w:val="Heading2"/>
      </w:pPr>
      <w:r>
        <w:t>Regeste</w:t>
      </w:r>
    </w:p>
    <w:p>
      <w:r>
        <w:t>Regeste Nachträgliche Enteignung. Schadenersatzansprüche wegen übermässiger Einwirkungen einer Hochspannungsleitung auf die Nachbarschaft, wenn den betroffenen Grundeigentümern weder durch eine öffentliche Planauflage noch durch persönliche Anzeigen Frist zur Anmeldung solcher Ansprüche angesetzt worden ist. Zuständigkeit der Schätzungskommission (Erw. 2, 3). Anwendung des Art. 41 EntG und der dort in Abs. 2 vorgesehenen Verwirkungsfrist? (Erw. 4 a). Beginn der Verwirkungsfrist im Falle von Vergleichsverhandlungen des Werkunternehmers mit den Geschädigten? (Erw. 4 b).</w:t>
      </w:r>
    </w:p>
    <w:p>
      <w:r>
        <w:t>Regeste Expropriation postérieure à l'exécution de l'ouvrage. Dommages-intérêts réclamés en raison des atteintes excessives portées aux fonds voisins par une ligne à haute tension, lorsque les propriétaires intéressés n'ont pas été invités à faire valoir de telles prétentions dans un délai fixé, ni par un dépôt public des plans, ni par des avis personnels. Compétence de la commission d'estimation (consid. 2, 3). Application de l'art. 41 LEx et du délai de péremption prévu à l'alinéa 2 de cette disposition? (consid. 4 a). Point de départ du délai de péremption en cas de pourparlers transactionnels entre l'entreprise qui construit l'ouvrage et les lésés? (consid. 4 b).</w:t>
      </w:r>
    </w:p>
    <w:p>
      <w:r>
        <w:t>Regesto Espropriazione posteriore all'esecuzione dell'opera. Pretese per risarcimento di danni fatte valere a motivo dei perturbamenti eccessivi causati ai fondi vicini da una linea ad alta tensione, quando i proprietari interessati non sono stati invitati a proporle entro un termine stabilito, nè mediante un deposito pubblico dei piani, nè mediante avvisi personali. Competenza della commissione di stima (consid. 2 e 3). Applicazione dell'art. 41 LEspr. e del termine di perenzione previsto al cpv. 2 di questo disposto? (consid. 4 a). Inizio del termine di perenzione in caso di trattative di transazione tra l'impresa che costruisce l'opera e i danneggiati? (consid. 4 b).</w:t>
      </w:r>
    </w:p>
    <w:p>
      <w:pPr>
        <w:pStyle w:val="Heading2"/>
      </w:pPr>
      <w:r>
        <w:t>Erwägungen</w:t>
      </w:r>
    </w:p>
    <w:p>
      <w:r>
        <w:rPr>
          <w:b/>
        </w:rPr>
        <w:t>E. 1</w:t>
      </w:r>
    </w:p>
    <w:p>
      <w:r>
        <w:t>Im vorliegenden Weiterzugsverfahren ist einzig die Rechtsfrage zu beurteilen, ob das Enteignungsverfahren gegen die Beklagten zu eröffnen oder diese Eröffnung wegen Verwirkung der klägerischen Ansprüche abzulehnen sei. Es ist daher von einem Urteilsentwurf des Instruktionsrichters nach Art. 84 EntG abzusehen und die Sache unmittelbar durch das Bundesgericht zu entscheiden ( BGE 82 I 56 Erw. 2). Eine mündliche Verhandlung ist von den BGE 88 I 190 S. 195 Parteien nicht verlangt worden ( Art. 85 Abs. 2 EntG ). Eine solche von Amtes wegen anzuordnen, besteht kein Anlass.</w:t>
      </w:r>
    </w:p>
    <w:p>
      <w:r>
        <w:rPr>
          <w:b/>
        </w:rPr>
        <w:t>E. 2</w:t>
      </w:r>
    </w:p>
    <w:p>
      <w:r>
        <w:t>Die Starkstromleitung Göschenen-Mettlen ist ein Werk von öffentlichem Interesse im Sinne von Art. 1 EntG , für welches den Beklagten, die sie gemeinsam erstellt haben, das Enteignungsrecht nach Bundesrecht zusteht. Das ist inbezug auf die CKW im Entscheid des Bundesrates vom 29. März 1960 (Erw. B/1) festgestellt worden, während es sich für die SBB, wie ebenfalls in diesem Entscheid (Erw. A/1) ausgeführt ist, aus Art. 3 des Eisenbahngesetzes vom 20. Dezember 1957 ergibt. Der Umstand, dass die Beklagten für den Bau und Betrieb der Leitung Träger des (eidgenössischen) Enteignungsrechts sind, hat zur Folge, dass nachteilige Einwirkungen, die der bestimmungsgemässe Betrieb der Anlage für die Nachbarschaft hat und die sich nicht oder nicht leicht vermeiden lassen, durch das Enteignungsrecht gedeckt sind. Die betroffenen Nachbarn müssen sich diese Einwirkungen gefallen lassen und können sich gegen sie nicht mit Unterlassungs- und Schadenersatzklagen auf Grund des Nachbarrechts des ZGB zur Wehr setzen. An die Stelle dieser zivilrechtlichen Klagen tritt der Anspruch auf öffentlich-rechtliche Entschädigung, der sich nach den Grundsätzen des Enteignungsrechtes bestimmt und vor den Enteignungsbehörden geltend zu machen ist ( BGE 62 I 11 und 269, BGE 64 I 231 /2 und 381, BGE 66 I 141 Erw. 3, BGE 79 I 203 ; Verwaltungsentscheide der Bundesbehörden [VE] 1940 Nr. 46). Im vorliegenden Fall ist nicht streitig, dass die behaupteten nachteiligen Einwirkungen, wegen welcher die Kläger Entschädigungsforderungen geltend machen, eine notwendige Folge des bestimmungsgemässen Betriebs der Leitungsanlage sind. Damit erscheinen die Entschädigungsforderungen als enteignungsrechtlich und es scheidet, entgegen der von den Beklagten in ihrer nachträglichen Eingabe vom 13. Juni 1962 geäusserten Auffassung, die Zuständigkeit BGE 88 I 190 S. 196 des Zivilrichters unter dem einzigen Vorbehalt von Art. 69 EntG aus.</w:t>
      </w:r>
    </w:p>
    <w:p>
      <w:r>
        <w:rPr>
          <w:b/>
        </w:rPr>
        <w:t>E. 3</w:t>
      </w:r>
    </w:p>
    <w:p>
      <w:r>
        <w:t>Wenn der Bau und Betrieb eines Werkes, für welches das Enteignungsrecht beansprucht werden kann, nachteilige Einwirkungen auf die Nachbarschaft hat, versagen die Rechtsbehelfe des Privatrechts auch dann, wenn das Unternehmen das für die Errichtung des Werks erforderliche Grundeigentum freihändig erworben hat, keine Nachbarrechte zu verletzen glaubte und deshalb das Enteignungsverfahren nicht eingeleitet hat (vgl. BGE 79 I 203 und HESS N. 5 zu Art. 5 EntG ). Doch können die betroffenen Nachbarn in diesem Falle ihre öffentlichrechtlichen Entschädigungsansprüche nicht ohne weiteres gestützt auf Art. 41 lit. c und 66 lit. b EntG durch nachträgliche Eingaben an die Schätzungskommission geltend machen, da solche Eingaben ein vom Enteigneten durch Planauflage oder persönliche Anzeigen eingeleitetes Enteignungsverfahren voraussetzen und die Schätzungskommission nicht befugt ist, das Werkunternehmen zur Einleitung dieses Verfahrens anzuhalten; diese Befugnis steht nur dem Bundesrat zu ( BGE 67 I 172 unten, VE 1948/50 Nr. 180). Die Beklagten haben das Recht zur Überspannung der Grundstücke in Ingenbohl, welche an die Liegenschaften der Kläger grenzen, seinerzeit freihändig erworben. Dagegen waren sie genötigt, gegenüber 9 Grundeigentümern in zwei andern Gemeinden des Kantons Schwyz das Enteignungsverfahren einzuleiten, wobei ihnen das abgekürzte Verfahren nach Art. 33 ff. EntG bewilligt wurde. Ferner mussten sie den Bundesrat um die Gewährung des Enteignungsrechts ersuchen. Wenn ihnen der Bundesrat im Dispositiv seines Entscheids das Enteignungsrecht nur soweit erteilt hat, als es nach dem Begehren der Beklagten gegenüber den damaligen Einsprechern erforderlich war, hat er mit der bereits erwähnten Feststellung in Erwägung B/1 doch ohne jeden Zweifel die ganze Leitungsanlage zum Werk von öffentlichem Interesse erklärt. Etwas BGE 88 I 190 S. 197 anderes wäre auch gar nicht denkbar, da es sich bei der Starkstromleitung Göschenen-Mettlen um ein einheitliches, von den SBB und den CKW gemeinsam unternommenes Werk handelt. Ist aber ein wenn auch nur beschränktes Enteignungsverfahren durchgeführt und in diesem festgestellt worden, dass den Beklagten das Enteignungsrecht zusteht, so besteht kein Grund, sie durch Anrufung des Bundesrates zur (nochmaligen) Einleitung eines Enteignungsverfahrens zu veranlassen, zumal da die Leitung bereits erstellt ist und die Erhebung einer auf Verschiebung des Trasses gerichteten, vom Bundesrat zu beurteilenden Einsprache heute nicht mehr in Frage kommt ( Art. 39 Abs. 1 EntG ). Die Kläger sind vielmehr berechtigt, ihre Entschädigungsansprüche ohne weiteres bei der Schätzungskommission anzumelden, sofern dies nicht, wie die Beklagten behaupten, nach Art. 41 EntG ausgeschlossen ist.</w:t>
      </w:r>
    </w:p>
    <w:p>
      <w:r>
        <w:rPr>
          <w:b/>
        </w:rPr>
        <w:t>E. 4</w:t>
      </w:r>
    </w:p>
    <w:p>
      <w:r>
        <w:t>Die Beklagten wenden ein, dass die Voraussetzungen von Art. 41 lit. c EntG für die Geltendmachung nachträglicher Entschädigungsforderungen vorliegend nicht erfüllt, allfällige derartige Forderungen aber jedenfalls nach Art. 41 Abs. 2 EntG verwirkt seien. a) Art. 41 EntG bezieht sich auf die Versäumung der mit der öffentlichen Planauflage oder im abgekürzten Verfahren mit der persönlichen Anzeige angesetzten Eingabefrist und bestimmt, unter welchen Voraussetzungen Entschädigungsforderungen auch nach Ablauf dieser Frist noch geltend gemacht werden können, wobei er, wie im nicht veröffentlichten Urteil vom 9. Dezember 1938 i.S. Kalt c. Aarewerke AG (S. 7) festgestellt worden ist, die Fälle, in denen die Möglichkeit einer nachträglichen Forderungseingabe besteht, abschliessend aufzählt. Art. 41 EntG und die in Abs. 2 vorgesehene Verwirkungsfrist ist daher nicht anwendbar, wenn ein Entschädigungsanspruch innert der Eingabefrist angemeldet, seine Beurteilung aber auf später verschoben worden ist, da in diesem Falle die Eingabefrist nicht versäumt worden ist ( BGE 71 I 300 BGE 88 I 190 S. 198 Erw. 5). Von einer Versäumung der Eingabefrist kann aber auch dann nicht gesprochen werden, wenn dem Geschädigten eine solche Frist weder durch öffentliche Planauflage noch durch persönliche Anzeige angesetzt worden ist. Art. 41 EntG ist daher jedenfalls nach seinem Wortlaut auf die Entschädigungsansprüche der Kläger nicht anwendbar (wie die Beklagten in ihrer Eingabe an die Schätzungskommission S. 3 Mitte selber bemerkt haben). Eine entsprechende Anwendung von Art. 41 EntG auf Fälle, in denen keine Eingabefrist angesetzt wurde, kommt nur in Frage, wenn man annimmt, diese Bestimmung stelle den allgemeinen Grundsatz auf, dass enteignungsrechtliche Entschädigungsansprüche ohne Ausnahme unverzüglich bei der Schätzungskommission geltend zu machen sind, sobald die Schädigung für den Betroffenen erkennbar ist. Die den Abs. 2 einleitenden Worte "im übrigen", aus denen dies abgeleitet werden könnte, dürften indessen auf einem Redaktionsversehen beruhen und damit zu erklären sein, dass Abs. 2 im Entwurf des Bundesrates dem (heutigen) Art. 38 angefügt war und dann ohne Änderung dem Art. 41 angehängt wurde (ZIMMERLIN, Nachträgliche Entschädigungsforderungen im Enteignungsverfahren, SJZ 1939/40 S. 122 Anm. 32). Der Bundesrat hat in einem Falle, wo kein Enteignungsverfahren durchgeführt worden war, die analoge Anwendung von Art. 41 Abs. 2 EntG abgelehnt und erklärt, die streitigen, nach Fertigstellung des Werkes erhobenen Entschädigungsansprüche wegen nachbarrechtlich unzulässiger Einwirkungen seien nicht verspätet und verwirkt, da eine Frist weder im Gesetz vorgesehen noch vom Werkunternehmen angesetzt worden sei (VE 1948/50 Nr. 180; vgl. auchBGE 79 I 199ff., wo die Frage der Verwirkung nach Art. 41 Abs. 2 EntG von keiner Seite aufgeworfen worden ist). Ob das gleiche anzunehmen ist, wenn, wie hier, ein Enteignungsverfahren zwar durchgeführt, dabei aber denjenigen, die nun Entschädigungsansprüche erheben, keine Eingabefrist angesetzt worden ist, kann dahingestellt bleiben, da die Ansprüche der BGE 88 I 190 S. 199 Kläger, wie der angefochtene Entscheid mit Recht annimmt, auch dann nicht verwirkt sind, wenn man Art. 41 Abs. 2 EntG als analog anwendbar betrachtet. b) Die Kläger haben die ihnen drohenden Einwirkungen der Leitung schon beim Baubeginn im Herbst 1959 erkannt und die Höhe des Schadens bereits am 15. Februar 1960 mit Fr. 45'000. - beziffert. Wären die strengen Regeln anwendbar, die nach der Praxis des Bundesgerichts für zivilrechtliche Verwirkungsfristen gelten, so wäre die Frist von Art. 41 Abs. 2 EntG am 17. November 1961, als die Kläger ihre Ansprüche bei der Schätzungskommission anmeldeten, längst abgelaufen gewesen. Das wiederholte Zögern und Ausweichen der Beklagten könnte in diesem Falle keinen zureichenden Grund für das Zuwarten der Kläger bilden, sondern hätte sie erst recht zur sofortigen Anrufung der Schätzungskommission veranlassen sollen. Diese Grundsätze lassen sich indessen nicht ohne weiteres auf die Verwirkung nach Art. 41 Abs. 2 EntG übertragen. Das Bundesgericht hat bereits im erwähnten Urteil i.S. Kalt c. Aarewerke (S. 10) ausgeführt, Vergleichsverhandlungen des Werkunternehmers mit dem Geschädigten berechtigten diesen zur Annahme, dass die Verwirkungsfrist noch nicht laufe, sondern erst mit dem allfälligen Abbruch dieser Verhandlungen, mit der endgültigen Stellungnahme des Werkunternehmers zu den Ansprüchen der Geschädigten zu laufen beginnen würde. Geht man hievon aus, so sind die Entschädigungsansprüche der Kläger nicht verwirkt. Nachdem die Kläger schon beim Baubeginn im Oktober 1959 sich an die Beklagten gewandt hatten, wurden Vergleichsverhandlungen mündlich und schriftlich während längerer Zeit geführt. Die Beklagten haben dabei zwar die Ansprüche der Kläger grundsätzlich bestritten, jedoch nie endgültig dazu Stellung genommen und die Verhandlungen nie abgebrochen, auch nicht im Schreiben vom 3. Juni 1960, auf das sie sich hiefür berufen; vielmehr haben sie sich in diesem Schreiben ausdrücklich bereit BGE 88 I 190 S. 200 erklärt, die Angelegenheit nach Fertigstellung der Leitung mit den Klägern an Ort und Stelle nochmals in aller Sachlichkeit zu überprüfen. Sie haben denn auch die Kläger auf den 15. Mai 1961 zu einem Augenschein geladen, damit ihre seinerzeit angemeldeten Wünsche in ihrer Gegenwart besprochen werden könnten. Nach den Notizen des Vertreters der Kläger über die Augenscheinsverhandlung haben die Beklagten dort eine erneute Stellungnahme nach Prüfung des von den Klägern angekündigten Rechtsgutachtens vorbehalten. Im vorinstanzlichen Verfahren haben sie die Richtigkeit dieser Protokollierung nicht bestritten. Ihr nachträglicher Einwand, sie hätten dazu keine Veranlassung gehabt, weil jene Notizen "nicht zum integrierenden Bestandteil des Entschädigungsbegehrens" erklärt worden seien, ist unbehelflich, da die Kläger auf diese Notizen genau so wie auf die übrigen Verhandlungsbelege verwiesen und die Beklagten alle Beilagen der Kläger zur Einsicht zugestellt erhalten haben. Aber auch bei Nichtberücksichtigung dieser Notizen bleibt die Tatsache, dass jedenfalls an dem von den Beklagten veranlassten Augenschein noch verhandelt wurde. Wollten die Beklagten am Augenschein oder später die Verhandlungen abbrechen und eine Entschädigung endgültig ablehnen, so war es ihre Sache, dies den Klägern eindeutig zu sagen. Dafür, dass dies geschehen wäre, fehlt ein Beweis.</w:t>
      </w:r>
    </w:p>
    <w:p>
      <w:r>
        <w:rPr>
          <w:b/>
        </w:rPr>
        <w:t>E. 5</w:t>
      </w:r>
    </w:p>
    <w:p>
      <w:r>
        <w:t>Der Präsident der Schätzungskommission hat demnach zu Recht die Verwirkungseinrede der Beklagten zurückgewiesen und das Entschädigungsbegehren der Kläger als zulässig betrachtet. Ob es begründet sei, wird bei der nun vorzunehmenden materiellen Behandlung zu entscheiden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