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97</w:t>
      </w:r>
    </w:p>
    <w:p>
      <w:r>
        <w:t>Bundesgericht (BGE), 1962-01-01, DE</w:t>
      </w:r>
    </w:p>
    <w:p>
      <w:r>
        <w:rPr>
          <w:b/>
        </w:rPr>
        <w:t xml:space="preserve">Quelle: </w:t>
      </w:r>
      <w:r>
        <w:t>https://mcp.opencaselaw.ch/entscheid/bge_BGE_88_IV_97</w:t>
      </w:r>
    </w:p>
    <w:p>
      <w:r>
        <w:t>FR: ATF 88 IV 97</w:t>
      </w:r>
    </w:p>
    <w:p>
      <w:r>
        <w:t>IT: DTF 88 IV 97</w:t>
      </w:r>
    </w:p>
    <w:p>
      <w:pPr>
        <w:pStyle w:val="Heading2"/>
      </w:pPr>
      <w:r>
        <w:t>Regeste</w:t>
      </w:r>
    </w:p>
    <w:p>
      <w:r>
        <w:t>Regeste Art. 91 Ziff. 1 und 2, Art. 92 StGB. 1. Für sittlich verwahrloste, sittlich verdorbene oder gefährdete Jugendliche steht nach dem Gesetz die Anstaltserziehung im Vordergrund (Erw. 2). 2. Verbindung von Anstaltserziehung und medikamentöser Behandlung bei latenter Epilepsie (Erw. 3).</w:t>
      </w:r>
    </w:p>
    <w:p>
      <w:r>
        <w:t>Regeste Art. 91 ch. 1 et 2, art. 92 CP. 1. Pour l'adolescent moralement abandonné, moralement perverti ou en danger de l'être, la loi prévoit en première ligne le renvoi dans une maison d'éducation (consid. 2). 2. Combinaison de ce renvoi et d'un traitement médicamenteux en cas d'épilepsie latente (consid. 3).</w:t>
      </w:r>
    </w:p>
    <w:p>
      <w:r>
        <w:t>Regesto Art. 91, num. 1 e 2, art. 92 CP. 1. Per l'adolescente moralmente abbandonato, pervertito od in pericolo di divenirlo, la legge prevede avantutto il collocamento in una casa d'educazione (consid. 2). 2. Combinazione di questo collocamento e di una cura a base di medicamenti in caso di epilessia latente (consid. 3).</w:t>
      </w:r>
    </w:p>
    <w:p>
      <w:pPr>
        <w:pStyle w:val="Heading2"/>
      </w:pPr>
      <w:r>
        <w:t>Erwägungen</w:t>
      </w:r>
    </w:p>
    <w:p>
      <w:r>
        <w:rPr>
          <w:b/>
        </w:rPr>
        <w:t>E. 2</w:t>
      </w:r>
    </w:p>
    <w:p>
      <w:r>
        <w:t>Welche der in Art. 91 StGB vorgesehenen Massnahmen im Einzelfall den Vorrang verdient, entscheidet die zuständige Behörde nach ihrem Ermessen ( BGE 80 IV 150 ). Dieses hat die Vorinstanz, indem sie sich für die Einweisung in eine Erziehungsanstalt für Jugendliche entschied, nicht überschritten. Denn inwiefern es offensichtlich unvernünftig sein sollte, aus dem bisherigen Verhalten des Beschwerdeführers einerseits und dem offenkundigen Versagen seiner Mutter als Erzieherin anderseits den Schluss zu ziehen, dass eine straffe und zielbewusste Führung des Jugendlichen nur in einer geschlossenen Anstalt gewährleistet sei, ist nicht zu sehen. Das Gesetz selber nennt in Art. 91 StGB die Anstaltserziehung an erster Stelle, und es sieht im Falle der Familienversorgung die Überlassung des Jugendlichen an die eigene Familie in letzter Linie vor (Ziff. 2). Der Grund dieser Reihenfolge liegt in der Erfahrungstatsache, dass eine Besserung in der Erziehung in der Regel nur durch einen Wechsel der Erzieher und der Umgebung zu erwarten ist und dass insbesondere die zweckmässige Behandlung einer schon eingetretenen oder sich abzeichnenden Fehlentwicklung Anforderungen an die erzieherische Fähigkeit stellt, denen die Familie häufig nicht gewachsen ist (s. das nicht veröffentlichte Urteil des Kassationshofes vom 23. Januar 1959 i.S. Luder). Letzteres ist hier unzweifelhaft der Fall, stellt BGE 88 IV 97 S. 99 doch die Vorinstantz verbindlich fest, die Mutter des Beschwerdeführers habe über diesen keinerlei Autorität und es beständen wegen ihren Männerbekanntschaften zwischen ihr und ihrem Sohne erhebliche Spannungen. Es war daher, unter Vorbehalt von Art. 92 StGB , sachlich gegeben, den Beschwerdeführer aus der eigenen Familie herauszunehmen und ihn in eine Anstalt einzuweisen. Dass aber das Obergericht sein Ermessen überschritten habe, indem es den Jugendlichen nicht einer vertrauenswürdigen fremden Familie zur Erziehung übergab, wird in der Beschwerde nicht geltend gemacht, offenbar mit Recht nicht.</w:t>
      </w:r>
    </w:p>
    <w:p>
      <w:r>
        <w:rPr>
          <w:b/>
        </w:rPr>
        <w:t>E. 3</w:t>
      </w:r>
    </w:p>
    <w:p>
      <w:r>
        <w:t>Ist dem so, kann sich bloss noch fragen, ob beim Geisteszustand des Beschwerdeführers die von der Vorinstanz angeordnete Einweisung in eine Erziehungsanstalt für Jugendliche genüge oder ob nicht zusätzlich zu dieser Massnahme oder eventuell an deren Stelle eine Massnahme nach Art. 92 StGB hätte verfügt werden sollen. Denn nach dem psychiatrischen Gutachten der Heil- und Pflegeanstalt Münsterlingen leidet B. an einer latenten Epilepsie, die nach der Empfehlung des Experten behandelt werden sollte. Die Vorinstanz hat hiezu nur insoweit Stellung genommen, als sie sich der Auffassung des Gutachters mit Bezug auf das Bestehen der genannten Krankheit anschloss. Dass sie sich zur Frage der Behandlung mit keinem Worte äusserte, obschon Art. 92 StGB eine solche bei epileptischen Jugendlichen ausdrücklich vorsieht, muss indessen nicht zur Aufhebung ihres Urteils führen. Da nach Auffassung des Experten die hier notwendige Behandlung in der Erziehungsanstalt erfolgen kann, besteht die vom Obergericht angeordnete Massnahme an sich zu Recht. Sie wird aber mit der vom Psychiater als dringend bezeichneten medikamentösen Behandlung verbunden werden müssen. Mit dieser Ergänzung ist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