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87</w:t>
      </w:r>
    </w:p>
    <w:p>
      <w:r>
        <w:t>Bundesgericht (BGE), 1962-01-01, DE</w:t>
      </w:r>
    </w:p>
    <w:p>
      <w:r>
        <w:rPr>
          <w:b/>
        </w:rPr>
        <w:t xml:space="preserve">Quelle: </w:t>
      </w:r>
      <w:r>
        <w:t>https://mcp.opencaselaw.ch/entscheid/bge_BGE_88_IV_87</w:t>
      </w:r>
    </w:p>
    <w:p>
      <w:r>
        <w:t>FR: ATF 88 IV 87</w:t>
      </w:r>
    </w:p>
    <w:p>
      <w:r>
        <w:t>IT: DTF 88 IV 87</w:t>
      </w:r>
    </w:p>
    <w:p>
      <w:pPr>
        <w:pStyle w:val="Heading2"/>
      </w:pPr>
      <w:r>
        <w:t>Regeste</w:t>
      </w:r>
    </w:p>
    <w:p>
      <w:r>
        <w:t>Regeste Art. 299 Abs. 2 und 3, 305 Abs. 1 BStP, 101 Abs. 3 und 110 Abs. 2 ZG: Ruhen der Verfolgungsverjährung bei Zollvergehen. 1. Die Verjährung ruht, wenn gegen die Festsetzung der hinterzogenen Abgabe beim Verwaltungsgericht Beschwerde geführt wird (Erw. 2). 2. Unter Verwaltungsgericht ist neben der verwaltungsrechtlichen Abteilung des Bundesgerichts auch die Eidg. Zollrekurskommission zu verstehen (Erw. 3). 3. Bestreitet nur ein Beteiligter die Festsetzung der Abgabe beim Verwaltungsgericht, so ruht die Verjährung auch gegenüber dem Beschuldigten, der selber nicht Beschwerde führt (Erw. 4b).</w:t>
      </w:r>
    </w:p>
    <w:p>
      <w:r>
        <w:t>Regeste Art. 299 al. 2 et 3, 305 al. 1 PPF, 101 al. 3 et 110 al. 2 LD: suspension de la prescription de l'action pénale en cas de délit douanier. 1. La prescription est suspendue en cas de recours au tribunal administratif contre la fixation du montant de la contribution soustraite (consid. 2). 2. Par tribunal administratif, il faut entendre non seulement la chambre de droit administratif du Tribunal fédéral, mais aussi la Commission fédérale des recours en matière de douane (consid. 3). 3. Lorsqu'un seul des participants conteste la fixation de la contribution par un recours au tribunal administratif, la prescription est aussi suspendue à l'égard de l'inculpé qui n'a pas recouru lui-même (consid. 4 b).</w:t>
      </w:r>
    </w:p>
    <w:p>
      <w:r>
        <w:t>Regesto Art. 299 cpv. 2 e 3, 305 cpv. 1 PPF, art. 101 cpv. 3 e 110 cpv. 2 LD; Sospensione della prescrizione dell'azione penale per delitti doganali. 1. La prescrizione è sospesa nei casi di ricorso al tribunale amministrativo contro la determinazione del dazio eluso (consid. 2). 2. Per tribunale amministrativo si deve intendere non solo la Camera di diritto amministrativo del Tribunale federale, ma anche la Commissione federale di ricorso in materia doganale (consid. 3). 3. Nel caso in cui solo uno dei partecipanti adisce il tribunale amministrativo per contestare la determinazione della contribuzione, la sospensione della prescrizione vale anche per gli incolpati che non hanno interposto ricorso (consid. 4 b).</w:t>
      </w:r>
    </w:p>
    <w:p>
      <w:pPr>
        <w:pStyle w:val="Heading2"/>
      </w:pPr>
      <w:r>
        <w:t>Erwägungen</w:t>
      </w:r>
    </w:p>
    <w:p>
      <w:r>
        <w:rPr>
          <w:b/>
        </w:rPr>
        <w:t>E. 1</w:t>
      </w:r>
    </w:p>
    <w:p>
      <w:r>
        <w:t>Nach Art. 83 ZG , der inhaltlich mit Art. 284 BStP übereinstimmt, verjähren Zollvergehen in zwei Jahren (Abs. 1). Die Verjährung wird durch jede gegen den Täter gerichtete Verfolgungshandlung unterbrochen (Abs. 3). Da es für Übertretungen fiskalischer Bundesgesetze, zu denen auch das Zollgesetz zu zählen ist, keine absolute Verjährung gibt, kann die Verfolgungsverjährung ohne zeitliche Grenzen immer wieder unterbrochen werden ( BGE 74 IV 26 ). Die Vorschriften des Zollgesetzes über die Verjährung finden auch auf die Hinterziehung der Warenumsatz- und Luxussteuer bei der Einfuhr Anwendung ( Art. 53 WUStB , Art. 42 LStB).</w:t>
      </w:r>
    </w:p>
    <w:p>
      <w:r>
        <w:rPr>
          <w:b/>
        </w:rPr>
        <w:t>E. 2</w:t>
      </w:r>
    </w:p>
    <w:p>
      <w:r>
        <w:t>Dass die Verfolgungsverjährung ruhe, wenn gegen die Festsetzung der hinterzogenen Abgabe beim Verwaltungsgericht Beschwerde geführt wird, sagt weder das Bundesgesetz über die Bundesstrafrechtspflege noch das Zollgesetz ausdrücklich. Fragen kann sich nur, ob dies nicht aus dem Sinn der Bestimmungen gefolgert werden muss, die das Verhältnis zwischen dem Beschwerdeentscheid über die Leistungspflicht einerseits und der administrativen Strafverfügung oder dem Urteil des angerufenen Strafrichters anderseits regeln. a) Der hinterzogene Zollbetrag bildet die Grundlage für die Strafzumessung und muss daher vorweg, jedenfalls vor Erlass der Strafverfügung ermittelt werden ( Art. 101 Abs. 3 ZG ). Das Gleiche gilt für die Hinterziehung der Warenumsatz- und Luxussteuer ( Art. 52 Abs. 1 WUStB , Art. 41 Abs. 1 LStB). Ist der geschuldete Abgabebetrag festgesetzt, so steht der Bestrafung des Beschuldigten, allfällige Beschwerden gegen die Festsetzung der Abgabe vorbehalten, nichts mehr im Wege. Das Zollgesetz hält die Entscheide über die Strafe und die Abgabe, wie übrigens auch die Anfechtungsmittel gegen diese Verfügungen und die einzuhaltenden Fristen, besonders deutlich auseinander. BGE 88 IV 87 S. 92 Es kann daher vorkommen, dass die Festsetzung des Abgabebetrages schon vor Erlass der Strafverfügung, aber auch erst nachher, unter Umständen sogar erst während des gerichtlichen Strafverfahrens durch Beschwerde beim Verwaltungsgericht angefochten wird. Letzteres scheint vor allem deshalb möglich, weil nach Art. 112 ZG die Frist für die erstmalige Anbringung einer Beschwerde 60 Tage beträgt. Das Bundesgesetz über die Bundesstrafrechtspflege hat diese Möglichkeiten nicht übersehen. Es enthält klare Regelungen für die Fälle, dass die Leistungspflicht beim Verwaltungsgericht vor Erlass der Strafverfügung oder während des gerichtlichen Strafverfahrens angefochten wird. Im ersten Falle hat die Verwaltungsbehörde den Entscheid über die Strafe aufzuschieben, bis über die Beschwerde entschieden ist ( Art. 299 Abs. 2 BStP ), im zweiten stellt der Richter das Strafverfahren bis zum gleichen Zeitpunkt ein ( Art. 305 Abs. 1 BStP ). Was zu geschehen hat, wenn die Leistungspflicht nach Erlass der Strafverfügung, aber vor Eröffnung des gerichtlichen Strafverfahrens durch Beschwerde angefochten wird, sagt das Gesetz nicht ausdrücklich. Es ist indes offensichtlich, dass die Verwaltung auch in diesem Falle den Beschwerdeentscheid des Verwaltungsgerichts abzuwarten hat. Das folgt aus Art. 299 Abs. 3 BStP , wonach eine neue Strafverfügung zu erlassen ist, wenn das Verwaltungsgericht den Abgabeanspruch nur teilweise schützt. Eine vorgängige Überweisung zur gerichtlichen Beurteilung im Sinne von Art. 300 Abs. 2 BStP fällt damit ausser Betracht; denn nach Eröffnung des gerichtlichen Strafverfahrens bedarf es selbst für den Fall, dass das Verwaltungsgericht den hinterzogenen Abgabebetrag anders festsetzt als die Verwaltung, keiner neuen Strafverfügung mehr. Abgesehen hievon darf nicht übersehen werden, dass die Sache beim zuständigen Strafgericht durch Überweisung der Akten anhängig gemacht wird ( Art. 300 Abs. 1 und 2 BStP ). Diese Überweisung kann die Verwaltung aber BGE 88 IV 87 S. 93 erst vornehmen, wenn die Akten dem Verwaltungsgericht nicht mehr zur Verfügung stehen müssen. b) Bei einer Beschwerde gegen die Festsetzung des geschuldeten Abgabebetrages oder gegen die Leistungspflicht überhaupt ist somit die weitere Strafverfolgung jedenfalls vom Erlass der Strafverfügung an von Gesetzes wegen auszusetzen, bis das Verwaltungsgericht über die Beschwerde entschieden hat. Der gleiche Schluss ist übrigens auch aus Art. 101 Abs. 3 ZG zu ziehen, wonach der rechtskräftig gewordene Zollansatz als Grundlage für die administrative und die richterliche Strafbemessung dient. Diese Regelung kann anderseits aber nur dahin verstanden werden, dass die Verfolgungsverjährung während des Beschwerdeverfahrens ruht, eine Wirkung, die das Gesetz zwar nicht ausdrücklich vorsieht, die jedoch anerkannt werden muss. Denn sind die Strafbehörden von Gesetzes wegen daran verhindert, weitere Verfolgungshandlungen vorzunehmen und damit die Verjährung zu unterbrechen, so kann diese auch nicht weiterlaufen. Andernfalls würde der Eintritt der Verjährung weitgehend vom Verhalten desjenigen abhängig gemacht, der die Leistungspflicht oder den Abgabebetrag bestreitet; dieser könnte namentlich in grösseren oder rechtlich schwierigen Fällen durch Verzögerung des Beschwerdeverfahrens die Verfolgungsverjährung herbeiführen und damit eine Bestrafung vereiteln. Dass dies nicht der Sinn des Gesetzes sein kann, liegt auf der Hand. Das Ruhen der Verjährung für die Dauer des Beschwerdeverfahrens ergibt sich zwangsläufig aus dem Sinn und Zweck der Regelung, welche den Entscheid über die Strafe zwar stets nach demjenigen über die Leistungspflicht ausrichten, aber nicht dazu Hand bieten will, die Durchführung des Strafverfahrens zu gefährden oder gar zu verunmöglichen. Diese Auslegung ist, wenn sie auch weiter geht als der Wortlaut der Art. 299 Abs. 2 und 3 und Art. 305 Abs. 1 BStP , durchaus zulässig, da sie dem wahren Sinn der Bestimmungen entspricht (vgl. BGE 77 BGE 88 IV 87 S. 94 IV 167; ferner GERMANN, Kommentar zum StGB, N. 10 zu Art. 1 und dort angeführte Lehre und Rechtsprechung). Ist im Einzelfall davon auszugehen, dass die Verjährung während des verwaltungsgerichtlichen Beschwerdeverfahrens ruht, so stellt sich die Frage nach einer Unterbrechung der Verjährung in dieser Zeit nicht mehr.</w:t>
      </w:r>
    </w:p>
    <w:p>
      <w:r>
        <w:rPr>
          <w:b/>
        </w:rPr>
        <w:t>E. 3</w:t>
      </w:r>
    </w:p>
    <w:p>
      <w:r>
        <w:t>Die Eidg. Zollrekurskommission ist eine für die Verwaltungsrechtspflege besonders eingesetzte Instanz ( Art. 101 lit. b OG ), die unter anderm Beschwerden gegen die Festsetzung des Zolles und der an der Grenze erhobenen Warenumsatzsteuer letztinstanzlich beurteilt, also gleiche Aufgaben erfüllt wie das Bundesgericht als Verwaltungsgerichtshof in bezug auf andere öffentlichrechtliche Abgaben; sie hat daher neben diesem als Verwaltungsgericht im Sinne des Art. 299 BStP zu gelten.</w:t>
      </w:r>
    </w:p>
    <w:p>
      <w:r>
        <w:rPr>
          <w:b/>
        </w:rPr>
        <w:t>E. 4</w:t>
      </w:r>
    </w:p>
    <w:p>
      <w:r>
        <w:t>a) Es ist unbestritten, dass die zweijährige Verjährungsfrist mit der Zustellung der Strafverfügung, welche gegenüber Hagen am 2. Dezember 1958 erfolgte, wegen Unterbrechung neu zu laufen begann. Da die Verjährung aber von der Einreichung der Beschwerde an die verwaltungsgerichtliche Instanz bis zu deren Entscheid ruhte, nämlich vom 16. Mai 195,,,9 bis 30. Juni 1960 in bezug auf Zoll und Warenumsatzsteuer, vom 22. September 1959 bis 7. September 1960 hinsichtlich der Luxussteuer, waren am 2. Februar 1961, als die Bundesanwaltschaft die Strafsache der Bezirksgerichtskommission Kreuzlingen überwies, von der Frist erst rund 12 1/2 bzw. 14 1/2 Monate verstrichen. Mit der Überweisung zur gerichtlichen Beurteilung wurde sie erneut unterbrochen und begann damit wieder von vorne zu laufen. Die Strafverfolgung gegen Hagen ist somit noch nicht verjährt. b) Martinelli hat gegen die Festsetzung der hinterzogenen Abgaben keine Beschwerde erhoben, obschon er hiezu befugt gewesen wäre. Hätten indes die von Hagen angerufenen Beschwerdeinstanzen die objektive Abgabepflicht verneint, so wäre der Entscheid auch Martinelli zugute BGE 88 IV 87 S. 95 gekommen, da nach Art. 110 Abs. 2 ZG die Beschwerde, die von einem dazu Berechtigten erhoben wird, auch für alle andern zur Beschwerde befugten Personen wirkt. Im Strafpunkt verhielte es sich nicht anders, weil gemäss Art. 299 Abs. 3 BStP die Strafverfügung für alle Beteiligten dahinfällt, wenn der Abgabeanspruch nach dem Beschwerdeentscheid des Verwaltungsgerichts objektiv nicht begründet ist (vgl. hiezu Art. 305 Abs. 2 BStP ). Diese Wirkung hat ihren Grund darin, dass bei Fiskaldelikten, wie sie hier in Frage stehen, die Strafe stets von der Frage abhängt, ob und in welchem Betrage eine Abgabepflicht besteht (vgl. Botschaft zum BStP, BBl 1929 II 652 und 655; ferner STÄMPFLI, ZStR 43, S. 137 und 147 f.). Es entspricht dieser innern Abhängigkeit der Strafe vom Entscheid über die Leistungspflicht, die Verfolgungsverjährung für den Fall, dass ein Beteiligter die Festsetzung der Abgabe beim Verwaltungsgericht bestreitet, auch gegenüber dem Beschuldigten ruhen zu lassen, der selber nicht Beschwerde führt. Zu einer gegenteiligen Annahme besteht jedenfalls hier kein Anlass, wo Hagen und Martinelli gestützt auf denselben Sachverhalt als Mittäter verfolgt und überwiesen wurden und beide die gleiche objektive Abgabepflicht trifft. Ruhte somit die Verfolgungsverjährung während der Dauer des verwaltungsgerichtlichen Beschwerdeverfahrens auch gegenüber Martinelli, so war die Strafverfolgung gegen ihn ebenfalls nicht verjährt, als die Strafsache zur gerichtlichen Beurteilung überwiesen wurde. Die zweijährige Verjährungsfrist, welche mit der Zustellung der Strafverfügung vom 26. November 1958 wieder von vorne begann, war bis zur Überweisung lediglich um eine Woche länger gelaufen als gegenüber Hagen.</w:t>
      </w:r>
    </w:p>
    <w:p>
      <w:r>
        <w:rPr>
          <w:b/>
        </w:rPr>
        <w:t>E. 5</w:t>
      </w:r>
    </w:p>
    <w:p>
      <w:r>
        <w:t>Das angefochtene Urteil, das auf der Annahme beruht, die Strafverfolgung gegen Hagen und Martinelli sei verjährt, ist aus diesen Gründen aufzuheben und die Sache zur neuen Beurteilung an die Vorinstanz zurückzuweisen. BGE 88 IV 87 S. 96 Dispositiv Demnach erkennt der Kassationshof: Die Nichtigkeitsbeschwerde wird gutgeheissen, das Urteil der Rekurs-Kommission des Obergerichtes des Kantons Thurgau vom 30. März 1962 aufgehoben und die Sache zur neuen Beurteilung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