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37</w:t>
      </w:r>
    </w:p>
    <w:p>
      <w:r>
        <w:t>Bundesgericht (BGE), 1959-05-08, DE</w:t>
      </w:r>
    </w:p>
    <w:p>
      <w:r>
        <w:rPr>
          <w:b/>
        </w:rPr>
        <w:t xml:space="preserve">Quelle: </w:t>
      </w:r>
      <w:r>
        <w:t>https://mcp.opencaselaw.ch/entscheid/bge_BGE_88_IV_37</w:t>
      </w:r>
    </w:p>
    <w:p>
      <w:r>
        <w:t>FR: ATF 88 IV 37</w:t>
      </w:r>
    </w:p>
    <w:p>
      <w:r>
        <w:t>IT: DTF 88 IV 37</w:t>
      </w:r>
    </w:p>
    <w:p>
      <w:pPr>
        <w:pStyle w:val="Heading2"/>
      </w:pPr>
      <w:r>
        <w:t>Regeste</w:t>
      </w:r>
    </w:p>
    <w:p>
      <w:r>
        <w:t>Regeste Art. 1 Abs. 1 und 2 BRB über die Höchstgeschwindigkeit der Motorfahrzeuge vom 8. Mai 1959 (Fassung gemäss BRB vom 24. Mai 1960). Die Kantone sind nach Bundesrecht nicht verpflichtet, Beginn und Ende einer Höchstgeschwindigkeitsstrecke, die sich über das Gebiet zweier aneinander grenzender Ortschaften hinzieht, zwischen den beiden Ortschaften neu zu signalisieren.</w:t>
      </w:r>
    </w:p>
    <w:p>
      <w:r>
        <w:t>Regeste Art. 1 al. 1 et 2 de l'ACF du 8 mai 1959 limitant la vitesse des véhicules automobiles (teneur conforme à l'ACF du 24 mai 1960). Lorsque la limitation de vitesse s'étend sur deux localités attenantes, le droit fédéral n'oblige pas les cantons à la signaler derechef (fin et début) entre ces deux localités.</w:t>
      </w:r>
    </w:p>
    <w:p>
      <w:r>
        <w:t>Regesto Art. 1 cpv. 1 e 2 del DCF 8 maggio 1959 concernente la velocità massima degli autoveicoli (testo del DCF 24 maggio 1960). Il diritto federale non fa obbligo ai cantoni di segnalare la limitazione della velocità fra due località limitrofe alle quali la limitazione si estende ininterrottamente.</w:t>
      </w:r>
    </w:p>
    <w:p>
      <w:pPr>
        <w:pStyle w:val="Heading2"/>
      </w:pPr>
      <w:r>
        <w:t>Volltext</w:t>
      </w:r>
    </w:p>
    <w:p>
      <w:r>
        <w:t>Bundesgericht (BGE) Band IV 1962 BGE 88 IV 37 Tribunal fédéral (ATF) Volume IV 1962 BGE 88 IV 37 Tribunale federale (DTF) Volume IV 1962 BGE 88 IV 37</w:t>
      </w:r>
    </w:p>
    <w:p>
      <w:r>
        <w:t>Regeste Art. 1 Abs. 1 und 2 BRB über die Höchstgeschwindigkeit der Motorfahrzeuge vom 8. Mai 1959 (Fassung gemäss BRB vom 24. Mai 1960). Die Kantone sind nach Bundesrecht nicht verpflichtet, Beginn und Ende einer Höchstgeschwindigkeitsstrecke, die sich über das Gebiet zweier aneinander grenzender Ortschaften hinzieht, zwischen den beiden Ortschaften neu zu signalisieren. Regeste Art. 1 al. 1 et 2 de l'ACF du 8 mai 1959 limitant la vitesse des véhicules automobiles (teneur conforme à l'ACF du 24 mai 1960). Lorsque la limitation de vitesse s'étend sur deux localités attenantes, le droit fédéral n'oblige pas les cantons à la signaler derechef (fin et début) entre ces deux localités. Regesto Art. 1 cpv. 1 e 2 del DCF 8 maggio 1959 concernente la velocità massima degli autoveicoli (testo del DCF 24 maggio 1960). Il diritto federale non fa obbligo ai cantoni di segnalare la limitazione della velocità fra due località limitrofe alle quali la limitazione si estende ininterrottamente.</w:t>
      </w:r>
    </w:p>
    <w:p>
      <w:r>
        <w:t>Urteilskopf 88 IV 37 11. Auszug aus dem Urteil des Kassationshofes vom 25. Januar 1962 i.S. Riedener gegen Staatsanwaltschaft des Kantons Aargau. Regeste Art. 1 Abs. 1 und 2 BRB über die Höchstgeschwindigkeit der Motorfahrzeuge vom 8. Mai 1959 (Fassung gemäss BRB vom 24. Mai 1960). Die Kantone sind nach Bundesrecht nicht verpflichtet, Beginn und Ende einer Höchstgeschwindigkeitsstrecke, die sich über das Gebiet zweier aneinander grenzender Ortschaften hinzieht, zwischen den beiden Ortschaften neu zu signalisieren. Erwägungen ab Seite 37 BGE 88 IV 37 S. 37 Aus den Erwägungen: Art. 1 des Bundesratsbeschlusses über die Höchstgeschwindigkeit der Motorfahrzeuge vom 8. Mai 1959 (BRB 1959; AS 1959, 445), teilweise abgeändert durch Bundesratsbeschluss vom 24. Mai 1960 (BRB 1960; AS 1960, 482), bestimmt, dass die Höchstgeschwindigkeit für Motorfahrzeuge in den Ortschaften 60 km/Std. beträgt, wenn nicht auf bestimmten Strecken eine andere Geschwindigkeitsgrenze signalisiert ist (Abs. 1), und dass Beginn und Ende der Innerorts-Höchstgeschwindigkeit auf den Hauptstrassen mit Vortrittsrecht und auf wichtigern Nebenstrassen durch die Signale "Höchstgeschwindigkeit" (Nr. 17 der Verordnung über die Strassensignalisation) und "Ende der Höchstgeschwindigkeit" angezeigt werden (Abs. 2). Beginn und Ende der Geschwindigkeitsbeschränkung in Ortschaften werden demnach nicht durch die Ortschaftstafeln, BGE 88 IV 37 S. 38 sondern durch besondere Beschränkungssignale angegeben. Die Ortschaftstafeln wurden hiezu nur vorübergehend verwendet (Art. 1 Abs. 2 BRB 1959). Anders als Art. 16 des Bundesratsbeschlusses vom 3. März 1953 über die Einführung neuer Strassensignale (vgl. BGE 84 IV 53 ) schreibt die neue Bestimmung auch ausdrücklich vor, dass sowohl der Beginn wie das Ende der Geschwindigkeitsbeschränkung zu signalisieren sind. Das will indes nicht heissen, dass Beginn und Ende einer Höchstgeschwindigkeitsstrecke, die sich über das Gebiet zweier aneinander grenzender Ortschaften hinzieht, zwischen den beiden Ortschaften neu signalisiert werden müssten. Wohl ist in Art. 1 BRB 1959 nur von der Höchstgeschwindigkeit in den Ortschaften die Rede; dies besagt jedoch bloss, dass die Geschwindigkeitsbeschränkung nur in den Ortschaften gilt, entgegen der Auffassung des Beschwerdeführers aber nicht auch, dass die Beschränkung ausgangs einer Ortschaft in jedem Falle ende und in der nächsten selbst dann neu bestimmt und signalisiert werden müsse, wenn die der Geschwindigkeitsbeschränkung unterliegenden Strecken beider Ortschaften einander ablösen. Wo zwei Ortschaften durch Siedlungen derart miteinander verbunden sind, dass einer dichtbebauten Zone der einen unmittelbar eine solche der andern folgt, ist übrigens auch vom Gesichtspunkt einer vernünftigen Verkehrsregelung nicht einzusehen, warum die Geschwindigkeitsgrenze nicht gleichzeitig für beide Ortschaften sollte signalisiert werden können. Ein Signal "Ende der Höchstgeschwindigkeit" zwischen solchen Ortschaften aufzustellen, dürfte von vorneherein ausser Betracht fallen, weil dieses nach Art. 8 Abs. 3 BRB 1959 nur vor Strecken angebracht wird, für die weder die Höchstgeschwindigkeit gemäss Art. 1 des Beschlusses noch eine von den zuständigen Behörden verfügte Geschwindigkeitsgrenze gilt. In einem solchen Falle kann es höchstens darum gehen, das Signal Nr. 17 eingangs der zweiten Ortschaft zu wiederholen. Wo sich eine Geschwindigkeitsbeschränkung über BGE 88 IV 37 S. 39 mehrere Ortschaften erstreckt, also eine längere Höchstgeschwindigkeitsstrecke in Frage steht, kann dies unter Umständen angezeigt sein, um den Motorfahrzeugführer, namentlich den ortsunkundigen, vor Unsicherheit und voreiligen Schlüssen zu bewahren; an der grundsätzlichen Regelung, wonach eine einmal signalisierte Geschwindigkeitsgrenze solange nicht überschritten werden darf, als sie nicht durch das Signal "Ende der Höchstgeschwindigkeit" aufgehoben ist, würde jedoch auch dadurch nichts geändert. Dagegen vermag der Beschwerdeführer mit dem Hinweis auf Art. 8 Abs. 1 BRB 1960 nicht aufzukommen. Wohl sind nach dieser Vorschrift die Signale "Höchstgeschwindigkeit" und "Ende der Höchstgeschwindigkeit" unmittelbar beim Beginn und Ende des dichtbebauten Ortschaftsgebietes anzubringen, um die Höchstgeschwindigkeitsstrecken möglichst kurz zu halten. Der Sinn der Bestimmung kann indes nicht der sein, Höchstgeschwindigkeitsstrecken zweier Ortschaften selbst dann getrennt mit den fraglichen Beschränkungssignalen zu versehen, wenn sie einander ablösen. Ebensowenig ist es geboten, eine Strecke, die zunächst durch dichtbesiedeltes, dann aber vorübergehend durch dünnbebautes Ortschaftsgebiet führt, für letzteres von der Geschwindigkeitsbeschränkung auszunehmen, ganz abgesehen davon, dass dies angesichts der in Art. 8 Abs. 3 Satz 3 BRB 1959 enthaltenen Vorschrift schwerlich zu bewerkstelligen wäre und zu einer unerwünschten Häufung von Signalen führen müsste. Hier wie dort kann es sich vielmehr bloss fragen, ob eine Wiederholung des Signals Nr. 17 angezeigt erscheint. Darüber zu entscheiden, muss den für die Strassensignalisation zuständigen Behörden anheimgestellt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