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33</w:t>
      </w:r>
    </w:p>
    <w:p>
      <w:r>
        <w:t>Bundesgericht (BGE), 1962-01-01, DE</w:t>
      </w:r>
    </w:p>
    <w:p>
      <w:r>
        <w:rPr>
          <w:b/>
        </w:rPr>
        <w:t xml:space="preserve">Quelle: </w:t>
      </w:r>
      <w:r>
        <w:t>https://mcp.opencaselaw.ch/entscheid/bge_BGE_88_IV_33</w:t>
      </w:r>
    </w:p>
    <w:p>
      <w:r>
        <w:t>FR: ATF 88 IV 33</w:t>
      </w:r>
    </w:p>
    <w:p>
      <w:r>
        <w:t>IT: DTF 88 IV 33</w:t>
      </w:r>
    </w:p>
    <w:p>
      <w:pPr>
        <w:pStyle w:val="Heading2"/>
      </w:pPr>
      <w:r>
        <w:t>Regeste</w:t>
      </w:r>
    </w:p>
    <w:p>
      <w:r>
        <w:t>Regeste Art. 110 Ziff. 5 und Art. 251 Ziff. 1 Abs. 2 StGB. Rechnungen enthalten ihrem Wesen nach blosse Behauptungen. Wer eine inhaltlich unwahre Rechnung ausstellt, macht sich daher nicht der Falschbeurkundung schuldig.</w:t>
      </w:r>
    </w:p>
    <w:p>
      <w:r>
        <w:t>Regeste Art. 110 ch. 5 et art. 251 ch. 1 al. 2 CP. Les factures, par leur nature même, ne contiennent que de simples affirmations. C'est pourquoi celui qui établit une facture dont le contenu est mensonger ne se rend pas coupable de la création d'un titre faux.</w:t>
      </w:r>
    </w:p>
    <w:p>
      <w:r>
        <w:t>Regesto Art. 110 num. 5 e art. 251 num. 1 cpv. 2 CP. Le fatture contengono, per loro natura, soltanto semplici affermazioni. Chi allestisce una fattura, il cui contenuto è inveritiero, non si rende quindi colpevole della formazione di un falso documento.</w:t>
      </w:r>
    </w:p>
    <w:p>
      <w:pPr>
        <w:pStyle w:val="Heading2"/>
      </w:pPr>
      <w:r>
        <w:t>Erwägungen</w:t>
      </w:r>
    </w:p>
    <w:p>
      <w:r>
        <w:rPr>
          <w:b/>
        </w:rPr>
        <w:t>E. 1</w:t>
      </w:r>
    </w:p>
    <w:p>
      <w:r>
        <w:t>Nach Art. 251 Ziff. 1 Abs. 2 StGB macht sich der Urkundenfälschung unter anderem schuldig, wer eine rechtlich erhebliche Tatsache unrichtig beurkundet. Wie der Kassationshof schon wiederholt festgestellt hat, ist nicht jede schriftliche Lüge eine Falschbeurkundung im Sinne dieser Bestimmung. Sie ist es nur dann, wenn die Schrift entsprechend der Begriffsumschreibung des Art. 110 Ziff. 5 StGB dazu bestimmt oder geeignet ist, gerade die erlogene Tatsache aufzunehmen und festzustellen, mit andern Worten, sie zu beweisen ( BGE 72 IV 72 /3, 139; BGE 73 IV 50 , 110; BGE 75 IV 168 ; BGE 79 IV 163 ). Diese Eignung fehlt der von der Beschwerdeführerin ausgestellten Kostgeldrechnung. Frau Herrmann behauptete darin lediglich, dass sie Morgenthaler 27 Mittagessen verabreicht und deswegen Fr. 75.60 zugute habe. Dass die Leistungen, aus denen sie ihren Anspruch herleitete, auch BGE 88 IV 33 S. 35 tatsächlich erbracht wurden und dass demzufolge ihre in der Rechnung abgegebene Erklärung der Wahrheit entspreche, wurde mit dieser Schrift in keiner Weise bewiesen und konnte damit auch nicht bewiesen werden. Denn Rechnungen enthalten wie Hotelanmeldescheine ( BGE 73 IV 50 ) oder Wochenrapporte eines Reisenden ( BGE 88 IV 29 ) ihrem Wesen nach blosse Behauptungen. Behauptungen aber sind, mögen sie auch schriftlich niedergelegt sein, keine beweismässigen Feststellungen. Der Schrift, deren Inhalt sie bilden, fehlt insoweit der Charakter einer Urkunde. Die Vorinstanz hat infolgedessen zu Unrecht angenommen, die Beschwerdeführerin habe mit der Ausstellung der inhaltlich unwahren Rechnung eine Falschbeurkundung im Sinne des Art. 251 Ziff. 1 Abs. 2 StGB begangen. Dass die Rechnung nicht von Morgenthaler, sondern von seinem "Beistand" bezahlt wurde, für den sie nicht leicht überprüfbar war, ändert nichts. Ob eine Schrift im Sinne des Gesetzes Beweisurkunde sei, hängt nicht von der mehr oder weniger leichten Überprüfbarkeit ihres Inhalts ab. Auch erlangte die Kostgeldrechnung der Beschwerdeführerin nicht dadurch Beweiswert, dass der Fürsorger Morgenthalers sich auf die darin gemachten Angaben verliess. Wenn er dies tat, so einzig deswegen, weil er keinen Anlass hatte, an der guten Treue der Wirtin zu zweifeln, und nicht, weil diese mit der Rechnung die Wahrheit ihrer Behauptungen bewiesen hätte. Eine Schrift, die, wie die Kostgeldrechnung der Beschwerdeführerin, der Sache nach blosse Behauptungen enthält, kann, unbekümmert um die beabsichtigte Verwendung im Rechtsverkehr, nie Falschbeurkundung sein. Möglich ist einzig eine materielle Urkundenfälschung. Insofern, als die Rechnung die vom Aussteller gegenüber dem Rechnungsadressaten abgegebenen Erklärungen ein für allemal festhält, also Beweis dafür schafft, dass jener für eine bestimmte Leistung in einem bestimmten Zeitpunkt und für einen bestimmten Betrag Rechnung gestellt hat, ist sie Urkunde im Sinne BGE 88 IV 33 S. 36 von Art. 110 Ziff. 5 StGB (vgl. BGE 72 IV 139 ; BGE 73 IV 50 , 110; BGE 88 IV 30 ). Wer daher z.B. eine Rechnung, die in einem Prozess als Beweismittel verwendet wird, nachträglich abändert, um zu verheimlichen, wann, wofür oder in welcher betragsmässigen Höhe Rechnung gestellt wurde, macht sich der materiellen Urkundenfälschung schuldig. Dagegen verstösst nicht gegen Art. 251 Ziff. 1 StGB , wer zum vorneherein in einer Rechnung lügt und dadurch Dritte täuscht.</w:t>
      </w:r>
    </w:p>
    <w:p>
      <w:r>
        <w:rPr>
          <w:b/>
        </w:rPr>
        <w:t>E. 2</w:t>
      </w:r>
    </w:p>
    <w:p>
      <w:r>
        <w:t>Ist aber das angefochtene Urteil schon aus den angeführten Gründen aufzuheben, so erübrigt sich eine Prüfung der Frage, ob der von der Beschwerdeführerin mit der inhaltlich unwahren Urkunde erstrebte Vorteil ein unrechtmässiger gewesen sei oder nicht. Dispositiv Demnach erkennt der Kassationshof: Die Nichtigkeitsbeschwerde wird gutgeheissen, das Urteil des Obergerichts des Kantons Bern vom 6. Juni 1961 aufgehoben und die Sache zur Freisprechung der Beschwerdeführerin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