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133</w:t>
      </w:r>
    </w:p>
    <w:p>
      <w:r>
        <w:t>Bundesgericht (BGE), 1953-12-23, DE</w:t>
      </w:r>
    </w:p>
    <w:p>
      <w:r>
        <w:rPr>
          <w:b/>
        </w:rPr>
        <w:t xml:space="preserve">Quelle: </w:t>
      </w:r>
      <w:r>
        <w:t>https://mcp.opencaselaw.ch/entscheid/bge_BGE_88_IV_133</w:t>
      </w:r>
    </w:p>
    <w:p>
      <w:r>
        <w:t>FR: ATF 88 IV 133</w:t>
      </w:r>
    </w:p>
    <w:p>
      <w:r>
        <w:t>IT: DTF 88 IV 133</w:t>
      </w:r>
    </w:p>
    <w:p>
      <w:pPr>
        <w:pStyle w:val="Heading2"/>
      </w:pPr>
      <w:r>
        <w:t>Regeste</w:t>
      </w:r>
    </w:p>
    <w:p>
      <w:r>
        <w:t>Regeste 1. Art. 40 ff. TSG, Art. 269 ff. VOTSG, Art. 9 RTubG, Art. 8 BRB vom 23. Dezember 1953/9. November 1956 über die Bekämpfung des Rinderabortus Bang. Verhältnis der Strafbestimmungen der Tierseuchengesetzgebung zu den gemeinrechtlichen Strafnormen. Verfehlungen eines Kantonstierarztes, die keine seuchenpolizeilichen Tatbestände betreffen, sondern bloss im Zusammenhang mit Massnahmen zur Bekämpfung von Tierseuchen begangen wurden, sind, sofern sie Tatbestände des StBG erfüllen, nach den Bestimmungen dieses Gesetzes zu ahnden (Erw. 1-3). 2. Art. 159 StGB. Dem Beamten, dem kraft seiner Stellung die ausschliessliche Befugnis zusteht, über Gelder einer öffentlichen Kasse zu verfügen, ist jedenfalls dann, wenn es sich hiebei nicht um bloss unbedeutende Werte handelt, die Geschäftsführung über Vermögen im Sinne dieser Bestimmung übertragen (Erw. 4).</w:t>
      </w:r>
    </w:p>
    <w:p>
      <w:r>
        <w:t>Regeste 1. Art. 40 ss. LF sur les mesures à prendre pour combattre les épizooties du 13 juin 1917; art. 269 ss. de l'ordonnance d'exécution du 30 août 1920; art. 9 LF sur la lutte contre la tuberculosebovine du 29 mars 1950; art. 8 ACF sur la lutte contre l'avortement épizootique des bovidés des 23 décembre 1953/9 novembre 1956. Rapport entre les dispositions pénales de la législation concernant la lutte contre les épizooties et celles du droit commun. Les manquements d'un vétérinaire cantonal qui, sans tomber sous le coup des prescriptions de la police contre les épizooties, ont été commis en corrélation avec les mesures ordonnées par lesdites prescriptions, sont réprimés selon les dispositions du code pénal, s'ils constituent des infractions définies par ce code (consid. 1-3). 2. Art. 159 CP. Le fonctionnaire auquel son poste confère le pouvoir exclusif de disposer des fonds d'une caisse publique se voit confier la gestion d'intérêts pécuniaires, au sens de cette disposition, du moins lorsqu'il ne s'agit pas seulement de montants peu importants (consid. 4).</w:t>
      </w:r>
    </w:p>
    <w:p>
      <w:r>
        <w:t>Regesto 1. Art. 40 sgg. LF 13 giugno 1917 sulle misure per combattere le epizoozie; art. 269 sgg. della relativa ordinanza di esecuzione del 30 agosto 1920; art. 9 LF 29 marzo 1950 concernente la lotta contro la tubercolosi dei bovini; art. 8 DCF 23 dicembre 1953/9 novembre 1956 concernente la lotta contro l'aborto epizootico dei bovini. Relazione tra le disposizioni penali della legislazione concernente la lotta contro le epizoozie e le norme di diritto comune. Le trasgressioni di un veterinario cantonale che, pur non concernendo fatti previsti dalle prescrizioni della polizia contro le epizoozie, sono state commesse in correlazione con le misure ordinate secondo dette prescrizioni, sono represse secondo le disposizioni del codice penale, se corrispondono a fattispeci di questo codice (consid. 1-3). 2. Art. 159 CP. Il funzionario che, in forza del suo posto, ha il potere esclusivo di disporre dei fondi di una cassa pubblica, detiene l'amministrazione del patrimonio, nel senso di questo disposto, perlomeno quando non trattasi solo di somme poco importanti (consid. 4).</w:t>
      </w:r>
    </w:p>
    <w:p>
      <w:pPr>
        <w:pStyle w:val="Heading2"/>
      </w:pPr>
      <w:r>
        <w:t>Erwägungen</w:t>
      </w:r>
    </w:p>
    <w:p>
      <w:r>
        <w:rPr>
          <w:b/>
        </w:rPr>
        <w:t>E. 1</w:t>
      </w:r>
    </w:p>
    <w:p>
      <w:r>
        <w:t>Der Beschwerdeführer macht zunächst geltend, seine allfälligen Verfehlungen wären einzig nach den Strafbestimmungen der Spezialgesetzgebung über die Tierseuchenbekämpfung und nicht nach dem gemeinen Strafrecht zu beurteilen gewesen. Das StGB finde nur Anwendung, soweit andere Bundesgesetze nicht selbst Strafnormen aufstellten. Der der allgemeinen Doktrin und der Praxis entsprechende Grundsatz, wonach die lex specialis der lex generalis vorgehe, müsse insbesondere dann gelten, wenn die Sonderregelung milder sei als die gemeinrechtliche Ordnung. Dieser Auffassung kann in solch allgemeiner Form nicht beigepflichtet werden. Das Bundesgericht hat die Frage nach dem Verhältnis von Sonderbestimmungen zu gemeinrechtlichen Strafnormen nie allgemein, sondern stets nur für den Einzelfall entschieden, indem es jeweils prüfte, ob die betreffende Spezialbestimmung das strafbare Verhalten hinsichtlich aller seiner Merkmale erfasse und die Tat in vollem Umfang abgelte. Traf dies zu, dann wurde nach dem Grundsatz "lex specialis derogat legi generali" verfahren und ausschliesslich die besondere Norm angewendet (s. BGE 82 IV 136 , BGE 83 IV 127 , BGE 85 IV 176 ). Dagegen wurde jeweils BGE 88 IV 133 S. 138 Idealkonkurrenz angenommen, wenn sich der besondere Tatbestand mit demjenigen des StGB nicht deckte, für die gleichzeitige Anwendung beider Bestimmungen Raum blieb und der Kumulation nicht eine besondere Kollisionsnorm des Spezialgesetzes entgegenstand ( BGE 72 IV 16 ; BGE 78 IV 92 ; BGE 80 IV 39 ; BGE 81 IV 112 , 161, 246; BGE 83 IV 139 ; BGE 86 IV 92 ; BGE 87 IV 97 , in welchem Falle auf Grund einer besonderen Kollisionsnorm des Nebenstrafgesetzes ausschliesslich gemeines Strafrecht angewendet wurde). Daraus aber erhellt, dass jedenfalls nach der Rechtsprechung des Bundesgerichtes, von der abzugehen kein Anlass besteht, nicht die Rede davon sein kann, dass immer dann, wenn ein Spezialgesetz Strafbestimmungen aufstellt, die Anwendung gemeinrechtlicher Strafnormen von vorneherein ausgeschlossen sei. Vielmehr ist, wie dargetan, im Einzelfalle zu prüfen, wie es sich damit verhält.</w:t>
      </w:r>
    </w:p>
    <w:p>
      <w:r>
        <w:rPr>
          <w:b/>
        </w:rPr>
        <w:t>E. 2</w:t>
      </w:r>
    </w:p>
    <w:p>
      <w:r>
        <w:t>Im vorliegenden Falle ist das Obergericht nach eingehender Prüfung der Rechtsfrage zum Ergebnis gelangt, dass abgesehen von den Widerhandlungen gegen Art. 15 der Verfügung des EVD vom 10. April 1951 keine der dem Beschwerdeführer zur Last gelegten Verfehlungen von der einschlägigen Spezialgesetzgebung erfasst werde und dass die nach Art. 159 und 317 StGB geahndeten Handlungen nach der Tierseuchengesetzgebung überhaupt nicht strafbar seien. Tatsächlich finden sich in den zahlreichen Erlassen zur Tierseuchenpolizei - mit der oben erwähnten Ausnahme - keine mit Strafsanktionen verbundenen Bestimmungen, die sich mit den Pflichten des Kantonstierarztes und den Massnahmen befassen, die dieser vorzukehren hat, um die ungerechtfertigte Auszahlung von Subventionen zu verhindern, und auch der Beschwerdeführer ist nicht in der Lage, solche Sondervorschriften namhaft zu machen. Die Voristanz hat daher mit Recht angenommen, dass im Verhalten Stöcklis, soweit es von ihr dem gemeinen Strafrecht unterstellt wurde, kein Verstoss gegen ein bestimmtes Gebot oder Verbot der Sondergesetzgebung liege. BGE 88 IV 133 S. 139</w:t>
      </w:r>
    </w:p>
    <w:p>
      <w:r>
        <w:rPr>
          <w:b/>
        </w:rPr>
        <w:t>E. 3</w:t>
      </w:r>
    </w:p>
    <w:p>
      <w:r>
        <w:t>Der Beschwerdeführer hält das für belanglos, weil die Tierseuchenpolizei in der Sondergesetzgebung eine umfassende und erschöpfende Regelung erfahren habe, so dass die ihm vorgeworfenen Verfehlungen, die mit seiner Tätigkeit als Kantonstierarzt be i der Bekämpfung der Tierseuchen zusammenhingen, wenn überhaupt, so nur nach den Strafbestimmungen der Art. 40 ff. TSG , Art. 9 RTubG und Art. 8 des BRB über die Bekämpfung des Rinderabortus Bang geahndet werden könnten. Richtig ist, dass der Gesetzgeber die Tierseuchenpolizei durch verschiedene Spezialerlasse umfassend geordnet und insbesondere eingehende Vorschriften über die Bekämpfung bereits vorhandener Seuchenherde, die Verhinderung ihrer Ausbreitung und die Einschleppung neuer Seuchen aufgestellt hat. Damit ist jedoch nicht gesagt, dass diese Ordnung auch strafrechtlich in dem Sinne eine abschliessende Regelung gefunden habe, dass für die Anwendung des StGB auf Handlungen, die keine seuchenpolizeilichen Tatbestände betreffen, sondern bloss im Zusammenhang mit Massnahmen zur Bekämpfung von Tierseuchen begangen wurden, nicht Raum bliebe. Ein Blick auf die Strafbestimmungen des Tierseuchengesetzes (Art. 40-46) und der Vollziehungsverordnung (Art. 269-271), auf die sich die übrigen Erlasse, insbesondere das Bundesgesetz über die Bekämpfung der Rindertuberkulose (Art. 9) und der Bundesratsbeschluss über die Bekämpfung des Rinderabortus Bang (Art. 8) berufen, zeigt, dass die Missachtung nur ganz bestimmter, artikelweise genannter Gebote oder Verbote unter Strafe gestellt wurde, die ihrerseits ausschliesslich seuchenpolizeilicher Natur sind und der praktischen Bekämpfung von Tierseuchen dienen sollen. Vorschriften über die Beitragsleistung von Bund und Kantonen an die Kosten der Seuchenbekämpfung ( Art. 21-28 TSG , Art. 262-268 der Vollziehungsverordnung) oder Bestimmungen über den Aufgaben- und Pflichtenkreis der Kantonstierärzte (Art. 22-27 der Vollziehungsverordnung zum TSG) sind denn auch nirgends unter den mit Strafsanktionen BGE 88 IV 133 S. 140 ausgestatteten Artikeln zu finden. Diese gesetzliche Ordnung lässt erkennen, dass der Gesetzgeber lediglich die im einzelnen aufgeführten, der eigentlichen Bekämpfung von Tierseuchen (Verhinderung der Ausbreitung und Verschleppung) dienenden Anordnungen, deren Missachtung eine Gefahr für gesunde Viehbestände bedeutete, mit Strafsanktionen ausstatten wollte. Dass damit gleichzeitig die Anwendung des gemeinen Strafrechtes auf andere, in den Spezialerlassen nicht geregelte Straftatbestände für den Fall habe ausgeschlossen werden wollen, dass diese im Zusammenhang mit Massnahmen der Tierseuchenbekämpfung gesetzt werden, ist nicht anzunehmen; dies umso weniger, als auch die Materialien zur Tierseuchengesetzgebung die Tendenz erkennen lassen, einzig diejenigen Widerhandlungen, durch welche die Bekämpfung der Tierseuchen in ihrem Erfolg unmittelbar gefährdet oder beeinträchtigt würde, unter Strafe zu stellen, und von einer weitergehenden Regelung oder einem Ausschluss des gemeinen Strafrechtes weder in den Botschaften des Bundesrates noch in den parlamentarischen Beratungen je die Rede war (s. die bundesrätlichen Botschaften zum TSG und RTubG in BBl 1915 I S. 353 und 1949 II S. 568, sowie die Beratungen des NatR in StenBull 1916 S. 220/2 und 1949 S. 872 und des StR in StenBull 1916 S. 212 und 1950 S. 43). Soweit daher die dem Beschwerdeführer zur Last gelegten Verfehlungen keinen der in der Tierseuchengesetzgebung umschriebenen Straftatbestände erfüllen, stellt sich die Frage einer Konkurrenz mit dem StGB überhaupt nicht und es steht somit der Anwendung des gemeinen Strafrechtes ( Art. 159 und 317 StGB ) nichts entgegen, mögen die betreffenden Handlungen von Stöckli auch in seiner Eigenschaft als Kantonstierarzt und bei Durchführung tierseuchenpolizeilicher Massnahmen begangen worden sein.</w:t>
      </w:r>
    </w:p>
    <w:p>
      <w:r>
        <w:rPr>
          <w:b/>
        </w:rPr>
        <w:t>E. 4</w:t>
      </w:r>
    </w:p>
    <w:p>
      <w:r>
        <w:t>Der Beschwerdeführer ficht seine Verurteilung nach Art. 159 StGB weiter mit der Begründung an, er sei nicht BGE 88 IV 133 S. 141 Geschäftsführer des Staates gewesen, da ihm keine Verfügung über Staatsvermögen anvertraut worden sei und er für solches Vermögen auch nicht tatsächlich zu sorgen gehabt habe. Wie die Vorinstanz zum objektiven Tatbestand feststellt, oblag dem Beschwerdeführer im Rahmen der ihm vom Tierseuchengesetz übertragenen Amtspflichten die umfassende Leitung der Bekämpfung der Rindertuberkulose und des Rinderabortus Bang, sowie die Fürsorge für die Gelder der Viehentschädigungskasse, aus der die staatlichen Beiträge an die Ausmerzaktionen geleistet wurden. Stöckli nahm bei der Gewährung dieser Subventionen die Schlüsselstellung ein, indem er allein befugt war, nach den gesetzlichen Bestimmungen Auszahlungen aus der genannten Kasse zu verfügen. Die Ausrichtung der Subventionen hing von ihm ab, und er erteilte denn auch der Viehentschädigungskasse bzw. dem Personal der Staatskasse, die den betreffenden Fonds verwaltete, gestützt auf die Rückvergütungsansprüche der GSV die Zahlungsanweisungen, worauf die Kantons- und Bundesbeiträge ohne weiteres ausgerichtet wurden. Eine Prüfung der Rechtmässigkeit der genannten Anweisungen war dem Kassenpersonal weder überbunden noch möglich. Nach diesen für den Kassationshof verbindlichen tatsächlichen Annahmen unterliegt keinem Zweifel, dass Stöckli den Tatbestand des Art. 159 StGB - die Unterstellung der eingeklagten Verfehlungen unter Art. 314 StGB wurde vom Obergericht mit zutreffenden Gründen verneint ( BGE 81 IV 228 ) - objektiv erfüllt hat. Denn wem, wie dem Beschwerdeführer, kraft seiner hohen amtlichen Stellung die ausschliessliche Befugnis zusteht, über Gelder einer bestimmten öffentlichen Kasse zu verfügen, dem ist jedenfalls dann, wenn es sich hiebei nicht um bloss unbedeutende Werte handelt, die Geschäftsführung über Vermögen im Sinne von Art. 159 StGB übertragen, unbekümmert darum, ob er die betreffende Kasse persönlich führt oder durch andere Beamte führen lässt und ob er für den BGE 88 IV 133 S. 142 Staat Rechtsgeschäfte tätigt oder nicht. Nach Art. 159 StGB genügt, dass der Entscheid über die Verwendung der betreffenden Gelder ihm zusteht und dass er auf Grund seiner amtlichen Stellung mindestens zur tatsächlichen Fürsorge für den durch die betreffende Kasse vertretenen Teil des Staatsvermögens verpflichtet ist ( BGE 81 IV 276 , BGE 86 IV 12 ), was beim Beschwerdeführer festgestelltermassen zutraf. Dadurch, dass Stöckli Subventionen, die nach den gesetzlichen Bestimmungen nicht oder nicht in der festgesetzten Höhe hätten ausbezahlt werden dürfen, zur Zahlung anwies und zu Unrecht bezogene staatliche Beiträge nicht zurückforderte, hat er demnach jene ihm von Amtes wegen obgelegene Fürsorgepflicht verletzt und den Staat am Vermögen geschädigt.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