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116</w:t>
      </w:r>
    </w:p>
    <w:p>
      <w:r>
        <w:t>Bundesgericht (BGE), 1962-06-22, FR</w:t>
      </w:r>
    </w:p>
    <w:p>
      <w:r>
        <w:rPr>
          <w:b/>
        </w:rPr>
        <w:t xml:space="preserve">Quelle: </w:t>
      </w:r>
      <w:r>
        <w:t>https://mcp.opencaselaw.ch/entscheid/bge_BGE_88_IV_116</w:t>
      </w:r>
    </w:p>
    <w:p>
      <w:r>
        <w:t>FR: ATF 88 IV 116</w:t>
      </w:r>
    </w:p>
    <w:p>
      <w:r>
        <w:t>IT: DTF 88 IV 116</w:t>
      </w:r>
    </w:p>
    <w:p>
      <w:pPr>
        <w:pStyle w:val="Heading2"/>
      </w:pPr>
      <w:r>
        <w:t>Regeste</w:t>
      </w:r>
    </w:p>
    <w:p>
      <w:r>
        <w:t>Regeste Art. 15 MFG. Der Strafrichter kann nicht prüfrüfen, ob der Entzug des Ausweises begründet sei, sondern nur, ob ein vollstreckbarer Entscheid über den Entzug vorliege und ob die Weigerung, den Ausweis abzugeben, gegen das Gesetz verstosse (Erw. 1). Art. 97 Ziff. 1 Abs. 2 SVG. Diese Bestimmung ist allein, unter Ausschluss von Art. 292 StGB anwendbar (Erw. 3). In der behördlichen Aufforderung ist eine Frist anzusetzen, was gegebenenfalls mündlich geschehen kann. Nicht erforderlich ist, dass gesetzliche Strafen angedroht und die Bestimmungen, welche diese vorsehen, angeführt werden. Die erfolglose Aufforderung kann wiederholt werden, ebenso gegebenenfalls die Strafverfolgung. - Gültigkeit der behördlichen Aufforderung, die - - am Domizil durch einen Polizisten erfolgte, - - schriftlich und ohne Fristansetzung erging, wenn die Behörde dem Adressaten genügend Zeit liess, der Aufforderung nachzukommen oder für den Fall der Verhinderung einen Aufschub zu verlangen. - Muss in jeder der aufeinanderfolgenden Aufforderungen eine neue Frist angesetzt werden? Frage offen gelassen (Erw. 4).</w:t>
      </w:r>
    </w:p>
    <w:p>
      <w:r>
        <w:t>Regeste Art. 15 LA. Le juge pénal ne peut examiner si le retrait du permis était fondé, mais seulement s'il existe une décision de retrait exécutoire et si le défaut de restitution viole la loi. Consid. 1. Art. 97 ch. 1 al. 2 LCR. Cette règle s'applique à l'exclusion de l'art. 292 CP. Consid. 3. La sommation sera assortie d'un bref délai; elle peut, le cas échéant, être orale; point n'est besoin qu'elle menace le destinataire des peines légales et se réfère à la disposition qui les prévoit; la sommation infructueuse peut être répétée, ainsi que, le cas échéant, la poursuite pénale. - Validité de la sommation - - faite à domicile par un gendarme, - - écrite et non assortie d'un délai lorsque l'autorité a effectivement laissé au destinataire le temps de s'exécuter ou de demander un délai, s'il était empêché. - Chacune des sommations successives doit-elle contenir un nouveau délai? Question laissée indécise. Consid. 4.</w:t>
      </w:r>
    </w:p>
    <w:p>
      <w:r>
        <w:t>Regesto Art. 15 LA. Il giudice penale non può esaminare se la revoca della licenza è fondata, ma soltanto se esiste una decisione esecutiva di revoca e se l'omissione della restituzione della licenza viola la legge. Consid. 1. Art. 97 num. 1 cpv. 2 LCStr. Questa norma s'applica ad esclusione dell'art. 292 CP. Consid. 3. Nell'avvertimento, che, dato il caso, può essere orale, è fissato un breve termine; non occorre che vi si minacci il destinatario delle pene legali con l'indicazione della disposizione che le prevede; l'avvertimento infruttuoso può essere ripetuto, come pure, dato il caso, il perseguimento penale. - Validità dell'avvertimento - - dato a domicilio da un gendarme, - - scritto e senza assegnazione di un termine, quando l'autorità ha effettivamente lasciato al destinatario il tempo di ottemperarvi o di chiedere un termine, in caso di impedimento. - Deve contenere un nuovo termine ognuno degli avvertimenti successivi? Questione lasciata indecisa. Consid. 4.</w:t>
      </w:r>
    </w:p>
    <w:p>
      <w:pPr>
        <w:pStyle w:val="Heading2"/>
      </w:pPr>
      <w:r>
        <w:t>Erwägungen</w:t>
      </w:r>
    </w:p>
    <w:p>
      <w:r>
        <w:rPr>
          <w:b/>
        </w:rPr>
        <w:t>E. 1</w:t>
      </w:r>
    </w:p>
    <w:p>
      <w:r>
        <w:t>Le recourant conteste tout d'abord le bien-fondé du retrait de son permis de conduire, retrait confirmé par le Conseil d'Etat, le 12 juin 1962. Selon l'art. 15 LA, encore en vigueur aujourd'hui, c'est à l'autorité administrative cantonale, puis, sur recours, au gouvernement cantonal et, en dernière instance, au Département fédéral de justice et police qu'il appartient de se prononcer en cette matière. La question est ainsi soustraite au juge de répression. Lorsque le titulaire d'un permis retiré ne le restitue pas, ce juge peut uniquement examiner s'il existe une décision de retrait exécutoire et si le défaut de restitution viole la loi. La question que pose le bien-fondé du retrait n'est pas préjudicielle; elle est entièrement liquidée par la procédure administrative.</w:t>
      </w:r>
    </w:p>
    <w:p>
      <w:r>
        <w:rPr>
          <w:b/>
        </w:rPr>
        <w:t>E. 2</w:t>
      </w:r>
    </w:p>
    <w:p>
      <w:r>
        <w:t>...</w:t>
      </w:r>
    </w:p>
    <w:p>
      <w:r>
        <w:rPr>
          <w:b/>
        </w:rPr>
        <w:t>E. 3</w:t>
      </w:r>
    </w:p>
    <w:p>
      <w:r>
        <w:t>Le recourant était donc tenu, dès la communication du prononcé de première instance, daté du 27 avril 1962, de restituer son permis de conduire. L'autorité lui ayant, par deux fois, enjoint de le faire, il s'est soustrait à son obligation. Le juge pénal lui a appliqué, pour le premier cas, l'art. 97 ch. 1 al. 2 LCR (en vigueur depuis le 1er janvier 1960 selon l'art. 61 de l'ordonnance du 20 novembre 1959 sur la responsabilité civile et l'assurance BGE 88 IV 116 S. 119 en matière de circulation routière) et, pour le second, l'art. 292 CP. Cependant, seul l'art. 97 ch. 1 al. 2 LCR sanctionne le défaut de restitution d'un permis retiré. Car, dans les cas visés par cet article, les dispositions spéciales du Code pénal ne sont pas applicables (art. 97 ch. 2; cf. art. 102 ch. 1 al. 2 LCR). Du reste, l'art. 292 CP est une règle subsidiaire, qui n'intervient qu'en l'absence d'une disposition spéciale réprimant l'insoumission (RO 73 IV 129 ; 78 I 178 , consid. 2). C'est donc par erreur que, pour le second des cas retenus, l'autorité cantonale a puni Hasel en vertu de l'art. 292 CP. Toutefois cette erreur n'a pu entraîner de conséquences défavorables pour le condamné; l'art. 292 CP fait de l'acte une simple contravention, tandis que l'art. 97 LCR l'érige en délit.</w:t>
      </w:r>
    </w:p>
    <w:p>
      <w:r>
        <w:rPr>
          <w:b/>
        </w:rPr>
        <w:t>E. 4</w:t>
      </w:r>
    </w:p>
    <w:p>
      <w:r>
        <w:t>L'art. 97 ch. 1 al. 2 LCR punit d'une peine d'emprisonnement ou d'amende celui qui, "malgré sommation", n'aura pas restitué un permis qui a fait l'objet d'une décision de retrait. L'exigence d'une sommation est manifestement destinée à soustraire aux peines sévères de l'emprisonnement ou de l'amende (art. 36 et 48 CP, applicables de par les art. 65 al. 3 LA et 334 CP) celui qui ne rend pas de son propre chef un permis retiré. Toute sommation, cependant, est en général assortie d'un délai imparti au destinataire pour s'exécuter. Mais ce délai doit être bref, compte tenu des circonstances, dans le cas de l'exécution matérielle du retrait d'un permis. Car il faut procéder rapidement afin d'éviter que les organes de la police, chargés du contrôle de la circulation, ne se voient présenter un permis apparemment valable. Cette urgence subsisterait alors même que, s'il conduisait un véhicule automobile, le titulaire encore en possession d'un permis retiré serait punissable de par l'art. 95 ch. 2 LCR (en vigueur depuis le 1er décembre 1960 de par l'art. 4 de l'ACF du 8 novembre 1960 concernant la forme des permis pour véhicules automobiles et pour leurs conducteurs). La loi, du reste, ne prescrit pas une sommation BGE 88 IV 116 S. 120 écrite et la forme orale pourra suffire, le cas échéant (pour le droit allemand: FLOEGEL-HARTUNG, Strassenverkehrsrecht, 11e éd., p. 1238, n. 5; FRITZ MÜLLER, Strassenverkehrsrecht, 20e éd., p. 437 s.). En outre et au contraire de l'art. 292 CP, l'art. 97 ch. 1 al. 2 LCR n'exige pas que la sommation menace le destinataire de lui appliquer au besoin les peines légales et se réfère à la disposition qui les prévoit. Enfin, il n'exclut nullement que, si la première sommation demeure sans effet et donne lieu à une poursuite pénale, l'autorité n'en fasse d'autres, dont l'inobservation pourrait entraîner de nouveaux renvois devant le juge de répression. Car ces sommations constituent des actes administratifs distincts; peu importe, du point de vue pénal, qu'elles aient le même objet et que le titulaire du permis retiré ait, une fois pour toutes, décidé de ne pas le rendre; l'art. 97 ch. 1 al. 2 LCR doit précisément aussi procurer à l'autorité un moyen de parvenir à l'exécution matérielle du retrait et de briser la résistance éventuelle de celui qui n'y prête pas la main (pour l'art. 292 CP: RO 74 IV 106). Dans le premier cas retenu par l'autorité cantonale, un gendarme s'est présenté, le 9 mai 1962, au domicile de Hasel; il l'y a rencontré et l'a sommé oralement de lui restituer le permis retiré. Cette sommation orale, faite à l'intéressé lui-même, devait suffire. Quant au délai, il n'était pas nécessaire d'en fixer un'puisque Hasel, comme le constate dûment le procès-verbal, n'a pas contesté être en possession de la pièce, ni pouvoir en disposer sur-le-champ, mais s'est contenté de déclarer qu'il avait adressé un recours au Conseil d'Etat et refusait de donner son permis de conduire. L'infraction était donc consommée (FRITZ MÜLLER, op.cit., p. 438). Quant au second cas, point n'est besoin de rechercher si le bureau des automobiles aurait dû assortir d'un délai la nouvelle sommation qu'il a faite. Il n'a effectivement pas pris cette précaution de forme. Mais, s'il a écrit au recourant, le 14 juin 1962, c'est seulement le 5 juillet suivant BGE 88 IV 116 S. 121 que le Département genevois de justice et police a dénoncé les infractions au Ministère public. Dans l'intervalle, Hasel aurait eu largement le temps soit de se rendre à la sommation, soit de motiver son retard en demandant à l'autorité d'attendre encore. Du reste, la même autorité lui avait encore écrit, le 22 juin 1962, pour lui rappeler sa lettre du 14 juin précédent.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