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94</w:t>
      </w:r>
    </w:p>
    <w:p>
      <w:r>
        <w:t>Bundesgericht (BGE), 1962-01-01, DE</w:t>
      </w:r>
    </w:p>
    <w:p>
      <w:r>
        <w:rPr>
          <w:b/>
        </w:rPr>
        <w:t xml:space="preserve">Quelle: </w:t>
      </w:r>
      <w:r>
        <w:t>https://mcp.opencaselaw.ch/entscheid/bge_BGE_88_II_94</w:t>
      </w:r>
    </w:p>
    <w:p>
      <w:r>
        <w:t>FR: ATF 88 II 94</w:t>
      </w:r>
    </w:p>
    <w:p>
      <w:r>
        <w:t>IT: DTF 88 II 94</w:t>
      </w:r>
    </w:p>
    <w:p>
      <w:pPr>
        <w:pStyle w:val="Heading2"/>
      </w:pPr>
      <w:r>
        <w:t>Regeste</w:t>
      </w:r>
    </w:p>
    <w:p>
      <w:r>
        <w:t>Regeste Frachtvertrag, Haftung des Frachtführers bei Beschädigung des Gutes, Art. 448 OR. Einfluss des Umstandes, dass der Absender mit dem Lieferanten des Gutes die Aufhebung des Kaufvertrags unter Rückerstattung des Kaufpreises vereinbart (Erw. 3). Der Frachtführer haftet grundsätzlich auch für bloss mittelbaren Schaden des Absenders (Erw. 4).</w:t>
      </w:r>
    </w:p>
    <w:p>
      <w:r>
        <w:t>Regeste Contrat de transport, responsabilité du voiturier pour le dommage résultant de l'avarie de la marchandise; art. 448 CO. Influence du fait que l'expéditeur et le fournisseur de la marchandise conviennent de la résolution du contrat de vente avec restitution du prix (consid. 3). Le voiturier répond aussi, en principe, pour le dommage indirect subi par l'expéditeur (consid. 4).</w:t>
      </w:r>
    </w:p>
    <w:p>
      <w:r>
        <w:t>Regesto Contratto di trasporto, responsabilità del vetturale per danno alla merce; art. 448 CO. Influsso del fatto che il mittente e il fornitore della merce convengono di rescindere il contratto di compravendita con restituzione del prezzo (consid. 3). Il vetturale risponde, di massima, anche per il danno indiretto subito dal mittente (consid. 4).</w:t>
      </w:r>
    </w:p>
    <w:p>
      <w:pPr>
        <w:pStyle w:val="Heading2"/>
      </w:pPr>
      <w:r>
        <w:t>Erwägungen</w:t>
      </w:r>
    </w:p>
    <w:p>
      <w:r>
        <w:rPr>
          <w:b/>
        </w:rPr>
        <w:t>E. 3</w:t>
      </w:r>
    </w:p>
    <w:p>
      <w:r>
        <w:t>Die Beklagte macht geltend, die Klägerin könne gegen sie keine Schadenersatzansprüche mehr erheben, weil die Verkäuferin die Maschine zurückgenommen und der Klägerin den Kaufpreis zurückerstattet habe. Dieser Sachverhalt sei einem Totalverlust des Gutes im Sinne des Art. 447 OR gleichzustellen; da die genannte Bestimmung den Ersatz auf den vollen Warenwert begrenze, stehe der Klägerin, die diesen Wert mit der Rückerstattung des BGE 88 II 94 S. 96 Kaufpreises erhalten habe, kein weiterer Schadenersatzanspruch zu. Diese Auffassung ist unrichtig. Das Gesetz unterscheidet klar zwischen der Haftung des Frachtführers bei Verlust oder Untergang des Frachtgutes (Art. 447) einerseits und der Haftung für Schäden aus Verspätung in der Ablieferung, aus Beschädigung oder aus teilweisem Untergang des Gutes (Art. 448) anderseits. Der Tatbestand des Art. 447 ist im vorliegenden Fall unzweifelhaft nicht gegeben. Das Frachtgut ist weder verloren gegangen, noch gänzlich zerstört, sondern nur beschädigt worden. Dieser Tatbestand kann selbstverständlich nicht dadurch verändert werden, dass der Empfänger des Gutes in seiner Eigenschaft als Käufer mit dem Verkäufer eine Abrede trifft, wonach der Kaufvertrag rückgängig gemacht und die gegenseitigen Leistungen zurückerstattet werden. Diese Abmachung und ihr Vollzug berühren das Rechtsverhältnis zwischen dem Frachtführer und seinem Auftraggeber in keiner Weise. Mit Recht hat sich die Vorinstanz daher auf den Boden gestellt, dass die Schadenersatzforderung der Klägerin ausschliesslich auf Grund von Art. 448 OR zu beurteilen sei.</w:t>
      </w:r>
    </w:p>
    <w:p>
      <w:r>
        <w:rPr>
          <w:b/>
        </w:rPr>
        <w:t>E. 4</w:t>
      </w:r>
    </w:p>
    <w:p>
      <w:r>
        <w:t>Nach Art. 448 Abs. 1 OR hat der grundsätzlich haftbare Frachtführer für allen Schaden einzustehen, der aus Verspätung in der Ablieferung, aus Beschädigung oder aus teilweisem Untergang des Gutes entstanden ist; jedoch kann gemäss Abs. 2 der genannten Gesetzesbestimmung ohne besondere Verabredung kein höherer Schadenersatz als der für den gänzlichen Verlust des Gutes vorgesehene, d.h. also höchstens der volle Sachwert, begehrt werden. Die Vorinstanz hat angenommen, damit werde die Haftung des Frachtführers lediglich hinsichtlich ihrer Höhe, nicht dagegen auch hinsichtlich der Art des Schadens beschränkt, und könne deshalb auch bloss mittelbaren Schaden des Absenders umfassen. Die Beklagte vertritt demgegenüber (unter Hinweis auf BECKER, N. 7 zu Art. 448 OR ) die Auffassung, die Bestimmung BGE 88 II 94 S. 97 beschränke die Haftung des Frachtführers nicht bloss summenmässig, sondern begrenze sie auf die Wertverminderung der beschädigten Sache und erstrecke sich daher nicht auf bloss mittelbaren Schaden. Diese Ansicht kann nicht geteilt werden. Nach dem klaren Wortlaut des Gesetzes ist in den Fällen des Art. 448 OR grundsätzlich aller Schaden zu ersetzen. Daraus muss gefolgert werden, dass im Gegensatz zu den Fällen des Art. 447 OR nicht bloss der Sachschaden zu ersetzen ist, sondern auch Nachteile anderer Art, eben der bloss mittelbare Schaden, ebenfalls in Betracht kommen können. Hinsichtlich des Schadens infolge verspäteter Ablieferung ist eine andere Lösung überhaupt nicht denkbar, weil ein solcher Schaden nur ein mittelbarer sein kann. Hätte der Gesetzgeber die Haftung bei Beschädigung und Teilverlust der gleichen Ordnung unterstellen wollen wie diejenige für Verlust oder Untergang des ganzen Transportgutes, so hätte er sie mit dieser zusammen in Art. 447 OR geregelt und sie nicht in Art. 448 OR zusammen mit dem Verspätungsschaden auf eine Linie gestellt. Daraus erhellt, dass die in Art. 448 Abs. 2 OR vorgesehene Begrenzung der Haftung auf den Ersatz, der bei gänzlichem Verlust des Gutes gefordert werden könnte, die Bedeutung einer summenmässigen Schranke hat. Diese Begrenzung soll lediglich den Frachtführer davor schützen, dass er bei blosser Beschädigung des Gutes stärker belastet wird als bei dessen gänzlichem Verlust (so zutreffend OSER/SCHÖNENBERGER, N. 2 zu Art. 448 OR ). Angesichts dieses klaren und eindeutigen Wortlauts des Art. 448 OR bleibt kein Raum für die von der Beklagten verfochtene abweichende Auslegung, die sich auf historische Erörterungen, auf eine Vergleichung mit den Sondergesetzen für den Eisenbahn- und Postfrachtverkehr und auf Usanzen des Transportgewerbes oder der Transportversicherung stützt. Für die Auslegung des Art. 448 OR im oben dargelegten Sinne sprechen schliesslich auch noch die folgenden Überlegungen: BGE 88 II 94 S. 98 Gemäss den in Art. 97 ff. OR niedergelegten Grundsätzen hat im Falle der Nichterfüllung oder nicht gehörigen Erfüllung von Obligationen der Schuldner allen daraus entstandenen Schaden, somit auch mittelbaren Schaden zu ersetzen, sofern er nicht den Exkulpationsbeweis zu erbringen vermag. Ausnahmen von diesem Grundsatz sind nur zuzulassen, soweit der Gesetzgeber einen dahingehenden Willen unmissverständlich zum Ausdruck bringt. Das ist in Art. 447 geschehen, nicht dagegen in Art. 448 OR . Es ist daher für die letztere Gesetzesbestimmung derjenigen Auslegung der Vorzug zu geben, welche dem erwähnten, das Vertragsrecht beherrschenden Grundsatz näher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