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73</w:t>
      </w:r>
    </w:p>
    <w:p>
      <w:r>
        <w:t>Bundesgericht (BGE), 1961-01-01, DE</w:t>
      </w:r>
    </w:p>
    <w:p>
      <w:r>
        <w:rPr>
          <w:b/>
        </w:rPr>
        <w:t xml:space="preserve">Quelle: </w:t>
      </w:r>
      <w:r>
        <w:t>https://mcp.opencaselaw.ch/entscheid/bge_BGE_88_II_73</w:t>
      </w:r>
    </w:p>
    <w:p>
      <w:r>
        <w:t>FR: ATF 88 II 73</w:t>
      </w:r>
    </w:p>
    <w:p>
      <w:r>
        <w:t>IT: DTF 88 II 73</w:t>
      </w:r>
    </w:p>
    <w:p>
      <w:pPr>
        <w:pStyle w:val="Heading2"/>
      </w:pPr>
      <w:r>
        <w:t>Regeste</w:t>
      </w:r>
    </w:p>
    <w:p>
      <w:r>
        <w:t>Regeste Fahrniseigentum; Erwerb ohne Besitz (Art. 717 ZGB). Dass eine Umgehung der Bestimmungen über das Faustpfand beabsichtigt worden sei, kann nur angenommen werden, wenn diese Absicht bei beiden Parteien, insbesondere auch beim Erwerber, bestanden hat. Tat- und Rechtsfrage. Verbindlichkeit der vorinstanzlichenFeststellungen über den innern Tatbestand. Fälle, in denen die Umstände auf die Umgehungsabsicht schliessen lassen (Einschränkung von BGE 78 II 212 Erw. 4).</w:t>
      </w:r>
    </w:p>
    <w:p>
      <w:r>
        <w:t>Regeste Propriété mobilière; constitut possessoire (art. 717 CC). On ne peut admettre l'intension d'éluder les règles concernant le gage mobilier, que si cette intention a existé chez les deux parties, en particulier aussi chez l'acquéreur. Question de fait ou de droit. Le Tribunal fédéral est-il lié par les constatations du juge cantonal sur la volonté dite interne? Cas dans lesquels les circonstances permettent d'admettre l'intention d'éluder (atténuation des principes posés dans l'arrêt RO 78 II 212, consid. 4).</w:t>
      </w:r>
    </w:p>
    <w:p>
      <w:r>
        <w:t>Regesto Proprietà mobiliare; acquisto senza possesso (art. 717 CC). L'intenzione di eludere le regole relative al pegno mobiliare può essere ammessa soltanto qualora risulti in ambedue le parti, segnatamente anche nell'acquirente. Questione di fatto e questione di diritto. Il Tribunale federale è vincolato agli accertamenti del giudice cantonale sulla cosiddetta volontà interna. Casi in cui le circostanze permettono di ammettere l'intenzione di eludere (attenuazione dei principi posti nella sentenza RU 78 II 212, consid. 4).</w:t>
      </w:r>
    </w:p>
    <w:p>
      <w:pPr>
        <w:pStyle w:val="Heading2"/>
      </w:pPr>
      <w:r>
        <w:t>Erwägungen</w:t>
      </w:r>
    </w:p>
    <w:p>
      <w:r>
        <w:rPr>
          <w:b/>
        </w:rPr>
        <w:t>E. 1</w:t>
      </w:r>
    </w:p>
    <w:p>
      <w:r>
        <w:t>Bleibt eine Sache infolge eines besonderen Rechtsverhältnisses beim Veräusserer, so ist der Eigentumsübergang gemäss Art. 717 Abs. 1 ZGB Dritten gegenüber unwirksam, wenn damit ihre Benachteilung oder eine Umgehung der Bestimmung über das Faustpfand beabsichtigt worden ist. Der Richter entscheidet hierüber gemäss Art. 717 Abs. 2 ZGB nach seinem Ermessen. Die Berufungsklägerin behauptet eine Verletzung des BGE 88 II 73 S. 78 Art. 717 ZGB durch die Vorinstanz dadurch, dass diese die Absicht der vertragschliessenden Parteien verneinte, durch ein Besitzeskonstitut die Bestimmung über das Faustpfand ( Art. 884 ZGB ) zu umgehen. Der Eigentumsübergang wird jedoch nach dem Gesetz gegenüber Dritten nur dann unwirksam, wenn die Absicht der Gesetzesumgehung bei beiden Parteien, insbesondere aber beim Erwerber vorgelegen hat (vgl. OFTINGER, N. 228 zu Art. 884 ZGB ; SCHERRER, N. 60 zu Art. 717 ZGB ). Sie kann, wenn es in dieser Hinsicht an bestimmten Äusserungen der Vertragschliessenden fehlt, nach Art. 717 Abs. 2 ZGB auch aus den Umständen geschlossen werden ( BGE 78 II 211 ). Dabei handelt es sich um eine Rechtsfrage, die vom Bundesgericht frei überprüft werden kann; dieses ist jedoch an die tatsächlichen Feststellungen der Vorinstanz, auf Grund welcher sie auf das Bestehen oder Nichtbestehen einer Umgehungsabsicht geschlossen hat, gebunden. Eine frei überprüfbare Rechtsfrage liegt nur insoweit vor, als zu entscheiden ist, ob die Vorinstanz den Rechtsbegriff der Umgehungsabsicht auf den von ihr festgestellten Tatbestand richtig angewandt habe, wobei das Bundesgericht auch an die kantonalen Feststellungen über den sogenannten inneren Tatbestand gebunden ist (vgl. BGE 85 II 100 ; BGE 84 II 245 mit Hinweisen; BIRCHMEIER, Handbuch S. 101 ff.). Die Vorinstanz hat in Würdigung der Aussagen des Beklagten im Parteiverhör und Steiners und Rindlisbachers im Zeugenverhör festgestellt, dass sich der Beklagte in reiner Kaufsabsicht in das Geschäft mit Gautschi eingelassen habe, dass es ihm allein um den Erwerb der Maschinen zu tun gewesen sei und dass er nicht beabsichtigt habe, Gautschi ein Darlehen zu gewähren und sich zu dessen Sicherung die Maschinen übereignen zu lassen. Diese den inneren Tatbestand beschlagenden Feststellungen sind für das Bundesgericht gemäss Art. 63 Abs. 2 OG verbindlich. Es bleibt deshalb gar kein Raum für Überlegungen, BGE 88 II 73 S. 79 wie sie in BGE 78 II 207 ff. darüber angestellt worden sind, unter welchen Umständen anzunehmen sei, dass bei einer ohne Übergabe der Sache vollzogenen Eigentumsübertragung die Umgehung der Bestimmung über das Faustpfand beabsichtigt worden sei; denn wenn wie hier dem angefochtenen Urteil zu entnehmen ist, dass die Vorinstanz den wirklichen Willen der Kontrahenten auf Grund der Beweiserhebungen festzustellen in der Lage war, so braucht dieser Wille nicht mehr "aus den Umständen erschlossen" zu werden. Tritt aber die Unwirksamkeit der ohne Sachübergabe erfolgten Eigentumsübertragung gemäss Art. 717 ZGB u.a. dann ein, wenn eine Umgehung der Bestimmungen über das Faustpfand beabsichtig war, was nach dem Gesagten hier mindestens in der Person des Berufungsbeklagten nicht zutraf, so hat die Vorinstanz mit der Abweisung der Klage, soweit es sich um die Frage der Umgehung von Art. 884 ff. ZGB handelte, nicht Bundesrecht verletzt. Schon deswegen erweist sich die Berufung insoweit als unbegründet. Ob Gautschis Absicht nur dahin gegangen sei, sich ein Darlehen zu verschaffen und die Maschinen nur zu Sicherungszwecken zu verkaufen, ist, da in der Person des Berufungsbeklagten von reiner Kaufsabsicht auszugehen ist, unerheblich. Zudem hat Gautschi nach den verbindlichen Feststellungen der Vorinstanz eine solche Absicht, falls sie bei ihm bestanden haben sollte, weder gegenüber dem Berufungsbeklagten noch gegenüber den Zeugen Steiner und Rindlisbacher zu erkennen gegeben.</w:t>
      </w:r>
    </w:p>
    <w:p>
      <w:r>
        <w:rPr>
          <w:b/>
        </w:rPr>
        <w:t>E. 2</w:t>
      </w:r>
    </w:p>
    <w:p>
      <w:r>
        <w:t>Aber auch von der Verbindlichkeit des von der kantonalen Instanz festgestellten inneren Tatbestandes ganz abgesehen, erweisen sich die Argumente der Berufungsklägerin an sich nicht als stichhaltig. Zunächst scheinen freilich die Ausführungen in BGE 78 II 211 ff. für den Standpunkt der Berufungsklägerin zu sprechen. Es wurden dort, ohne dass in concreto einer dieser Fälle vorgelegen hätte, verschiedene Hypothesen angeführt, bei BGE 88 II 73 S. 80 deren Erfüllung ein Umgehungsgeschäft im Sinne von Art. 717 ZGB zweifellos anzunehmen sei, so allgemein dann, - wenn die Beteiligten bei Eigentumsübertragung ohne Sachübergabe den Eigentumsübergang zwar ernstlich gewollt haben, der dabei verfolgte wirtschaftliche Zweck aber die Sicherstellung einer Forderung des Erwerbers war, dem Käufer also an der Kaufsache nichts gelegen war, sondern er sie nur zur Deckung für den als Kaufpreis bezahlten Betrag bis zu einer von den Parteien in Aussicht genommenen Rückerstattung desselben haben wollte und der Kauf somit nicht dem ihm eigenen Zweck des Güteraustausches diente, sondern die wirtschaftliche Wirkung einer Darlehensgewährung gegen Sicherung durch ein Faustpfand ohne Sachübergabe herbeiführen sollte, und insbesondere dann, - wenn die Sache dem Verkäufer auf Grund eines Mietvertrages für bestimmte Zeit überlassen und zugleich abgemacht wird, dass der Verkäufer die Kaufsache am Ende der Mietdauer gegen Rückerstattung des Kaufpreises zurückerwerbe, oder - wenn die Miete für unbestimmte Zeit (unter Vereinbarung eines periodischen Mietzinses) abgeschlossen und dem Verkäufer ebenfalls zeitlich unbeschränkt das Recht zum Rückkauf und dem Käufer das Recht zur Rückveräusserung der Sache gegen den dafür bezahlten Preis eingeräumt wird, oder - wenn bei auf unbestimmte Zeit abgeschlossener Miete wenigstens dem Verkäufer das unbefristete Recht vorbehalten wird, zu verlangen, dass der Kauf rückgängig gemacht werde, oder - wenn Miete und Rückkaufsrecht des Verkäufers zwar nicht unbefristet, aber für lange Dauer vereinbart wurden. Selbst wenn aber eine dieser Hypothesen vollumfänglich erfüllt ist, darf ein Umgehungsgeschäft im Sinne von BGE 88 II 73 S. 81 Art. 717 ZGB nur angenommen werden, wenn nicht die gesamten übrigen Umstände dagegen sprechen ( Art. 717 Abs. 2 ZGB ). (Da letzteres im vorliegenden Falle zutraf, wurde das angefochtene Urteil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