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471</w:t>
      </w:r>
    </w:p>
    <w:p>
      <w:r>
        <w:t>Bundesgericht (BGE), 1962-01-01, DE</w:t>
      </w:r>
    </w:p>
    <w:p>
      <w:r>
        <w:rPr>
          <w:b/>
        </w:rPr>
        <w:t xml:space="preserve">Quelle: </w:t>
      </w:r>
      <w:r>
        <w:t>https://mcp.opencaselaw.ch/entscheid/bge_BGE_88_II_471</w:t>
      </w:r>
    </w:p>
    <w:p>
      <w:r>
        <w:t>FR: ATF 88 II 471</w:t>
      </w:r>
    </w:p>
    <w:p>
      <w:r>
        <w:t>IT: DTF 88 II 471</w:t>
      </w:r>
    </w:p>
    <w:p>
      <w:pPr>
        <w:pStyle w:val="Heading2"/>
      </w:pPr>
      <w:r>
        <w:t>Regeste</w:t>
      </w:r>
    </w:p>
    <w:p>
      <w:r>
        <w:t>Regeste Internationales Privatrecht; Alleinvertretungsvertrag. Die Qualifikation eines streitigen Rechtsverhältnisses hat nach der lex fori zu erfolgen (Erw. 2). Alleinvertretung: Grundsätze für die Ermittlung des Rechts, das beim Fehlen einer Rechtswahl der Parteien auf den Alleinvertretungsvertrag anwendbar ist (Erw. 3).</w:t>
      </w:r>
    </w:p>
    <w:p>
      <w:r>
        <w:t>Regeste Droit international privé; contrat de représentation exclusive. Dans un litige, la qualification d'un rapport juridique relève de la lex fori (consid. 2). Représentation exclusive: principes pour la recherche du droit applicable au contrat de représentation exclusive lorsque les parties n'ont pas opéré leur choix (consid. 3).</w:t>
      </w:r>
    </w:p>
    <w:p>
      <w:r>
        <w:t>Regesto Diritto internazionale privato; contratto di rappresentanza esclusiva. La qualificazione di un rapporto giuridico controverso si giudica secondo la lex fori (consid. 2). Rappresentanza esclusiva: principi per la determinazione del diritto applicabile al contratto di rappresentanza esclusiva qualora le parti non abbiano fatto una scelta (consid. 3).</w:t>
      </w:r>
    </w:p>
    <w:p>
      <w:pPr>
        <w:pStyle w:val="Heading2"/>
      </w:pPr>
      <w:r>
        <w:t>Erwägungen</w:t>
      </w:r>
    </w:p>
    <w:p>
      <w:r>
        <w:rPr>
          <w:b/>
        </w:rPr>
        <w:t>E. 1</w:t>
      </w:r>
    </w:p>
    <w:p>
      <w:r>
        <w:t>Da ein Geschäft des internationalen Handelsverkehrs im Streite liegt, ist von Amtes wegen die Frage des anwendbaren Rechts zu prüfen; denn gemäss Art. 43 OG kann mit der Berufung nur die Verletzung schweizerischen Rechts gerügt werden, und das Bundesgericht ist daher nur zu dessen Überprüfung befugt.</w:t>
      </w:r>
    </w:p>
    <w:p>
      <w:r>
        <w:rPr>
          <w:b/>
        </w:rPr>
        <w:t>E. 2</w:t>
      </w:r>
    </w:p>
    <w:p>
      <w:r>
        <w:t>Die Parteien sind über die Rechtsnatur ihrer vertraglichen Beziehungen gegensätzlicher Ansicht. Zur Ermittlung BGE 88 II 471 S. 473 des anwendbaren Rechtes muss daher vorerst das streitige Rechtsverhältnis qualifiziert werden. Das hat gemäss der Rechtsprechung nach der lex fori zu geschehen, da diese dem Richter die Anknüpfungsbegriffe darbietet ( BGE 88 II 327 Erw. 2, BGE 85 II 453 Erw. 2. SCHÖNENBERGER/JÄGGI, Kommentar zum OR, Allgemeine Einleitung, N. 100 und dort erwähnte Entscheide). Bei dieser Qualifikation ist davon auszugehen, dass die vertraglichen Beziehungen der Parteien sich nicht auf eine Anzahl aufeinanderfolgender, rechtlich voneinander völlig unabhängiger Kaufgeschäfte beschränkten. Es bestanden zwischen ihnen vielmehr nähere, dauerhaftere Bindungen, durch welche ihr Verhältnis als sog. Alleinvertretungsvertrag charakterisiert wird. Nach den verbindlichen Feststellungen der Vorinstanzen hatte nämlich bis zum Jahre 1955 Charles Haussmann in Zürich die Alleinvertretung der Fabrikate der Beklagten für die Schweiz. Dieser trat dann als Prokurist in den Dienst der Klägerin, und bei diesem Anlass wurde seine Geschäftsverbindung mit der Beklagten auf die Klägerin übertragen. Ein schriftlicher Alleinvertretungsvertrag mit Festlegung eines Vertretungsgebietes einerseits und einer Mindestabnahmepflicht des Vertreters anderseits, wie dies sonst üblich ist, wurde allerdings nicht abgeschlossen. Schriftlichkeit ist jedoch kein Gültigkeitserfordernis des Alleinvertretungsvertrages, und auch die Festsetzung einer Mindestabnahmepflicht bildet kein begriffsnotwendiges Merkmal eines solchen. Eine schriftliche Festlegung wurde im vorliegenden Fall offenbar deshalb als nicht notwendig erachtet, weil die blosse Übertragung eines bereits bestehenden Vertretungsverhältnisses stattfand. Die Übertragung der Geschäftsverbindung mit Haussmann auf die Klägerin sollte an deren Rechtsnatur nichts ändern. Das geht daraus hervor, dass die Beklagte nach der Aussage ihres von der ersten Instanz als Auskunftsperson einvernommenen Teilhabers Seybert bei der Begründung der Geschäftsbeziehung mit der Klägerin dieser die Zusicherung gab, sie sei der einzige Importeur der BGE 88 II 471 S. 474 Fabrikate der Beklagten. Nach der gleichen Richtung weist sodann auch die Tatsache, dass die Klägerin sich in einem an ihre Kundschaft gerichteten Mitteilungsblatt, das sie mit Einwilligung der Beklagten herausgab, als Inhaberin der Alleinvertretung für die Schweiz bezeichnete. Schliesslich wäre auch die im Schreiben der Beklagten vom 4. Februar 1961 gebrauchte Wendung von der "fristlosen Kündigung unserer bisherigen Geschäftsbeziehung" unverständlich, wenn zwischen den Parteien nicht ein Alleinvertretungsverhältnis bestanden hätte. Angesichts all dieser Umstände ist daher der Auffassung der Vorinstanz beizupflichten, dass die zwischen den Parteien begründete geschäftliche Beziehung einen Alleinvertretungsvertrag darstellt.</w:t>
      </w:r>
    </w:p>
    <w:p>
      <w:r>
        <w:rPr>
          <w:b/>
        </w:rPr>
        <w:t>E. 3</w:t>
      </w:r>
    </w:p>
    <w:p>
      <w:r>
        <w:t>Als Schuldvertrag untersteht der Alleinvertretungsvertrag der allenfalls von den Parteien vereinbarten Rechtsordnung. Fehlt es, wie im vorliegenden Falle, an einer Rechtswahl der Parteien, so ist gemäss ständiger Rechtsprechung das Recht massgebend, mit dem der Vertrag den engsten räumlichen Zusammenhang aufweist ( BGE 88 II 286 Erw. 1 und dort erwähnte Entscheide). Die Vorinstanzen haben unter Hinweis auf diesen Grundsatz ausgeführt, beim Alleinvertretungsvertrag falle, wie bei dem ihm ähnlichen Agenturvertrag, das Hauptgewicht auf das Gebiet der Vertretung, da hier die für das Verhältnis der Parteien wichtigste Tätigkeit zu entfalten sei, und sie haben mit Rücksicht hierauf das schweizerische Recht als anwendbar betrachtet. Das Bundesgericht hat in BGE 78 II 81 f. zwar anerkannt, dass der Alleinvertretungsvertrag wirtschaftlich gesehen zu den Vermittlungsverträgen gehöre und daher dem Agenturvertrag verwandt sei, für den Art. 418 b Abs. 2 OR auf das Recht des Landes verweise, in welchem der Agent seine Tätigkeit ausübe. Für den Alleinvertretungsvertrag wurde dann aber gleichwohl das Recht am Wohnsitz des Lieferanten als grundsätzlich massgebend erklärt, weil das Schwergewicht auf den Verkäuferpflichten BGE 88 II 471 S. 475 des Fabrikanten liege. Dabei wurden jedoch ausdrücklich Sonderfälle vorbehalten "où les rapports entre fournisseur et "représentant" sont de nature plus étroite; où par exemple le contrat d'exclusivité est conclu pour une longue durée ou a effectivement été en vigueur de longues années, où le concessionnaire n'est pas obligé de faire des commandes d'un minimum déterminé, où il est tenu de consacrer toute son activité à son fournisseur; dans ce cas, il se peut que sa position, quant au droit applicable, doive être assimilée à celle d'un agent." Mit einem Sonderfall dieser Art hat man es hier zu tun. Eine Mindestbezugspflicht der Klägerin wurde nicht vereinbart; das Alleinvertretungsverhältnis hat 6 Jahre gedauert, und es ist überdies in Betracht zu ziehen, dass es an die Stelle eines schon vorher während mehrerer Jahre bestehenden Alleinvertretungsverhältnisses zwischen der Beklagten und Haussmann trat. Unter diesen Umständen ist es sachlich richtiger, den Vertrag der Parteien dem schweizerischen Recht zu unterstellen. Ob sich die in BGE 78 II 81 grundsätzlich vertretene Auffassung überhaupt aufrecht erhalten lasse, kann heute offen bleiben. Da der streitige Vertrag vom schweizerischen Recht beherrscht wird, ist die Berufung somit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