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455</w:t>
      </w:r>
    </w:p>
    <w:p>
      <w:r>
        <w:t>Bundesgericht (BGE), 1962-01-01, FR</w:t>
      </w:r>
    </w:p>
    <w:p>
      <w:r>
        <w:rPr>
          <w:b/>
        </w:rPr>
        <w:t xml:space="preserve">Quelle: </w:t>
      </w:r>
      <w:r>
        <w:t>https://mcp.opencaselaw.ch/entscheid/bge_BGE_88_II_455</w:t>
      </w:r>
    </w:p>
    <w:p>
      <w:r>
        <w:t>FR: ATF 88 II 455</w:t>
      </w:r>
    </w:p>
    <w:p>
      <w:r>
        <w:t>IT: DTF 88 II 455</w:t>
      </w:r>
    </w:p>
    <w:p>
      <w:pPr>
        <w:pStyle w:val="Heading2"/>
      </w:pPr>
      <w:r>
        <w:t>Regeste</w:t>
      </w:r>
    </w:p>
    <w:p>
      <w:r>
        <w:t>Regeste Unfall infolge Oeffnens der Türe eines Motorfahrzeugs. 1. Begriff des Betriebs eines Motorfahrzeugs (Erw. 1). 2. Wer eine Türe gegen die Fahrbahn zu offen lässt, handelt grob schuldhaft. Mitverschulden des Opfers (übersetzte Geschwindigkeit) und seinem Fahrzeug innewohnende Betriebsgefahr. (Erw. 2). 3. Berechnung des Schadenersatzes (Erw. 3-5).</w:t>
      </w:r>
    </w:p>
    <w:p>
      <w:r>
        <w:t>Regeste Accidentdûà l'ouverture de la portière d'une voiture automobile. 1. Notion de l'emploi d'un véhicule automobile (consid. 1). 2. Celui qui laisse une portière ouverte côté chaussée commet une faute grave. Faute concomitante de la victime (vitesse exagérée) et risque inhérent à son véhicule (consid. 2). 3. Calcul des indemnités (consid. 3 à 5).</w:t>
      </w:r>
    </w:p>
    <w:p>
      <w:r>
        <w:t>Regesto Infortunio cagionato dall'apertura di una portiera di un autoveicolo. 1. Nozione di uso di un autoveicolo (consid. 1). 2. Chi lascia aperta una portiera dal lato della carreggiata commette una colpa grave. Colpa concorrente della vittima (velocità esagerata) e rischio inerente all'autoveicolo della medesima (consid. 2). 3. Calcolo delle indennità (consid. 3 al 5).</w:t>
      </w:r>
    </w:p>
    <w:p>
      <w:pPr>
        <w:pStyle w:val="Heading2"/>
      </w:pPr>
      <w:r>
        <w:t>Erwägungen</w:t>
      </w:r>
    </w:p>
    <w:p>
      <w:r>
        <w:rPr>
          <w:b/>
        </w:rPr>
        <w:t>E. 1</w:t>
      </w:r>
    </w:p>
    <w:p>
      <w:r>
        <w:t>De par l'art. 37 al. 1 LA (applicable en l'espèce), la responsabilité civile du détenteur - et par conséquent de son assureur - découle de l'emploi d'un véhicule automobile. Un rapport de causalité adéquate doit exister entre cette utilisation et le dommage (RO 82 II 47). L'emploi suppose la réalisation du danger spécial que crée la circulation des véhicules automobiles. L'accident, considéré dans son ensemble, doit avoir pour cause le risque provoqué par le fonctionnement de leurs organes proprement mécaniques (RO 81 II 557; 63 II 269 ss.; 64 II 240 ; 72 II 220 consid. 2; 78 II 163 ), notamment du moteur ou des phares (éblouissement: RO 63 II 342). Ainsi le véhicule à l'arrêt (déjà avant les manoeuvres conduisant à l'accident) et ne représentant comme obstacle que sa masse n'est pas en emploi. De même, le préjudice subi parce qu'un passager, en fermant la portière, écrase les doigts d'un compagnon n'a pas pour cause l'emploi de la voiture. Vu ces principes, il est évident que l'accident survenu à Guillod n'est pas dû à l'emploi de la voiture de Bottelli. Il n'y a pas lieu de modifier ce point de vue en raison d'une convention interne des assureurs ou de l'entrée en vigueur de la nouvelle loi sur la circulation routière du 19 décembre 1958 et des opinions qui ont été émises lors de son élaboration. L'adjonction constituée par l'art. 58 al. 2 LCR milite du reste plutôt en faveur du maintien de l'interprétation actuelle (cf. contra: YUNG, La responsabilité civile d'après la loi sur la circulation routière, vol. 15 des mémoires publiés par la Faculté de droit de Genève, p. 9). Quant à la jurisprudence allemande, qui en diffère, elle n'apporte pas toute clarté (MÜLLER, Strassenverkehrsrecht, 21e éd., 1959 p. 135 ss., spéc. 135 al. 3, alinéa B ad § 1). Il suit de là que l'assureur n'est pas responsable et que Bottelli répond de ses actes illicites (art. 41 ss. CO). On BGE 88 II 455 S. 459 doit cependant donner acte aux demandeurs de l'offre des défendeurs.</w:t>
      </w:r>
    </w:p>
    <w:p>
      <w:r>
        <w:rPr>
          <w:b/>
        </w:rPr>
        <w:t>E. 2</w:t>
      </w:r>
    </w:p>
    <w:p>
      <w:r>
        <w:t>Le juge pouvant réduire les dommages-intérêts, ou même n'en point allouer, lorsque des faits dont le lésé répond ont contribué à créer le dommage (art. 44 al. 1 CO), il faut fixer et comparer les fautes respectives de Bottelli et de Guillod (le conducteur et le détenteur du camion n'en ayant commis aucune qui soit en rapport de causalité adéquate avec l'accident). a) Le lésé a commis une imprudence. Avant le lever du jour, sur une route humide et verglacée par endroits, sa vitesse était exagérée, vu l'usure des pneus de son véhicule et le fait que ses feux de croisement, selon le jugement attaqué, ne lui assuraient une visibilité que sur trente mètres environ. Cette vitesse explique peut-être que la victime n'ait pas vu à temps la portière entrouverte ou qu'elle n'ait pu l'éviter. On ne saurait en tout cas admettre que Guillod n'avait pas à envisager un obstacle imprévisible et pouvait penser que la largeur de la voiture était exactement signalée par les feux (cf. RO 84 IV 106 et les citations). On énerverait ainsi les règles simples et si possible peu nombreuses qui doivent ordonner une circulation de plus en plus dense. Il n'est du reste pas si rare qu'un véhicule stationne au bord de la route sans respecter les règles de stationnement ou que, pour diverses raisons, quelque chose dépasse le gabarit normal. Ainsi caractérisée, la faute de Guillod est cependant légère. Doit-on y ajouter le risque inhérent propre à sa motocyclette? D'ordinaire (sous l'angle de l'art. 39 LA), on compare des risques réciproques. En l'espèce toutefois, celui du camion de Louis ne paraît avoir joué aucun rôle: si Guillod avait heurté une voiture ou une motocyclette, un tel véhicule aurait aussi pu l'écraser et le tuer. Quant à la voiture de Bottelli, elle n'a pas réalisé un danger spécifique de la circulation, n'étant pas en emploi (die Betriebsgefahr des Motorfahrzeuges besteht bekanntlich darin, dass es durch die Möglichkeit rascher, selbständiger Fortbewegung BGE 88 II 455 S. 460 seines beträchtlichen Eigengewichts mit Hilfe motorischer Kräfte eine Gefährdung sowohl der übrigen Strassenbenützer, wie auch seiner Insassen mit sich bringt: RO 85 II 519). L'eût-elle été que la comparaison des fautes fût vraisemblablement restée l'élément déterminant, vu la tendance à considérer comme égaux les risques d'une voiture et d'une puissante motocyclette (v. RO 82 II 539). Celle-ci, il est vrai, représente en soi un risque certain par sa masse, sa puissance, son instabilité et la faible protection de son conducteur. Ce risque a peut-être contribué à aggraver les conséquences de la collision. Or l'un des faits dont le lésé répond ("Umstände, für die er einstehen muss"; art. 44 al. 1 CO), c'est précisément le danger auquel son propre véhicule l'expose (RO 85 II 520; pour le cas de l'art. 37 al. 2 et 3 LA: VOYAME, De la détermination des risques inhérents aux véhicules automobiles, JdT 1959 I 78/9). b) Ce qui fut toutefois décisif, en l'espèce, c'est la faute initiale, lourde et prépondérante de Bottelli. Si elle ne fut pas exclusive au point d'être la seule cause de l'accident et de ses suites, comme dans le cas Kuhn contre Gross (RO 85 II 521), elle rejette néanmoins au second plan le comportement de la victime et les risques inhérents à la motocyclette, et la réduction de moitié opérée par la juridiction cantonale sur les indemnités pour frais, perte de soutien et tort moral allouées apparaît nettement exagérée; le tribunal la fixe à 30% seulement. Bottelli, en effet, connaissait parfaitement les lieux, sis devant son habitation, et la route de grand trafic qu'il empruntait chaque jour. Il connaissait, comme Guillod, les circonstances existant le matin de l'accident. Or il n'a pas hésité à enfreindre l'art. 49 al. 1 RA, arrêtant sa voiture à 50 cm. du bord de la route, au-delà de la tolérance usuelle de 10 à 20 cm. (RO 81 IV 179). Bien plus, il a arrêté sa voiture devant le disque même qui, près de sa maison, lui interdisait de le faire; il créa ainsi un obstacle là où, vu BGE 88 II 455 S. 461 le signal réglementaire, les usagers ont coutume de n'en point attendre. Bottelli, toutefois, a commis une faute bien plus impardonnable en laissant la portière gauche de sa voiture ouverte vers l'intérieur de la chaussée, dans le sens le plus dangereux pour les véhicules qui dépassent. La portière, dans la voiture de sport Julietta Sprint, est grande et s'ouvre très largement. Un rien peut en accentuer l'angle d'ouverture; l'obstacle représenté par la voiture en est alors considérablement agrandi, sans signalisation supplémentaire. Cette négligence fut la cause première de l'accident. Elle était d'autant plus grave que Bottelli, quittant sa voiture vide, ne pouvait plus intervenir à temps au besoin (il n'était en outre pas descendu du côté opposé à la circulation, comme le lui prescrivait l'art. 49 al. 1 in fine RA; mais cette faute ne paraît pas avoir joué de rôle en l'espèce; RO 79 IV 135 ss.).</w:t>
      </w:r>
    </w:p>
    <w:p>
      <w:r>
        <w:rPr>
          <w:b/>
        </w:rPr>
        <w:t>E. 3</w:t>
      </w:r>
    </w:p>
    <w:p>
      <w:r>
        <w:t>Vu ce qui précède, l'indemnité pour perte de soutien doit être fixée, respectivement pour la veuve et l'enfant, à 32 200 et 17 850 fr. (le 70% de 46 000 et 25 500 fr.); l'enfant ne réclamant que 16 500 fr., on ne saurait toutefois aller au-delà de sa demande. Les frais et le dommage matériel, fixés à 2671 fr. 70, subissant aussi une réduction de 30%, le tribunal alloue une indemnité de 1870 fr. 20. La Cour cantonale admet implicitement, avec raison, qu'au tort moral subi par la veuve correspond une indemnité de 5000 fr. (cf. RO 60 II 325; 84 II 299 et 300). En revanche, vu la gravité de la faute de Bottelli comparée à celle - minime - de Guillod, une réduction de moitié ne se justifie pas (RO 63 II 346 consid. 4; 82 II 35 et les citations). La mort de la victime, en pleine force de l'âge, fut tragique pour sa veuve, désormais seule avec un petit enfant. Aussi un montant de 4000 fr. paraît-il mieux correspondre aux circonstances du cas.</w:t>
      </w:r>
    </w:p>
    <w:p>
      <w:r>
        <w:rPr>
          <w:b/>
        </w:rPr>
        <w:t>E. 4</w:t>
      </w:r>
    </w:p>
    <w:p>
      <w:r>
        <w:t>D'après le jugement attaqué, le fils de la victime était trop jeune au moment de l'accident pour ressentir BGE 88 II 455 S. 462 douloureusement la mort de son père. Il ne s'ensuit pas, cependant, qu'il n'y a pas lieu à réparation d'un tort moral. Peu importe en effet que le tort soit sensible à tel moment plutôt qu'à tel autre. Selon sa jurisprudence constante, le tribunal alloue aussi une indemnité pour tort moral à des enfants en bas âge (RO 72 II 170 consid. 9; 58 II 248 consid. 2; 56 II 127 consid. 7; OFTINGER, Haftpflichtrecht, 2e éd., p. 266). Il a même comparé parfois leur situation à celle de la veuve (RO 56 II 127). En l'espèce, une indemnité de 3000 fr. paraît adaptée aux circonstances du cas.</w:t>
      </w:r>
    </w:p>
    <w:p>
      <w:r>
        <w:rPr>
          <w:b/>
        </w:rPr>
        <w:t>E. 5</w:t>
      </w:r>
    </w:p>
    <w:p>
      <w:r>
        <w:t>Le jugement attaqué rejette les demandes des époux Marzetti. Dans la mesure où celle du mari vise la réparation d'un tort moral, elle a passé à ses héritiers, car il avait fait valoir son droit avant sa mort (RO 81 II 385 ss.). Pour refuser une indemnité à titre de perte de soutien, la Cour cantonale constate souverainement (art. 63 al. 2 OJ) que la part de l'entretien assuré par Guillod à ses beaux-parents était compensée par l'activité lucrative de la belle-mère et par la mise à la disposition de la victime de la maison de Grandvaux; elle ajoute que le beau-fils n'aurait pas à l'avenir, s'il avait survécu, assisté les époux Marzetti dans une mesure excédant notablement leurs propres prestations. Ces faits entraînent le rejet des demandes. En ce qui concerne le tort moral, le jugement attaqué relate que l'instruction n'a pas établi des liens spécialement étroits entre les beaux-parents et la victime. S'agissant de parenté par alliance, cette constatation, bien qu'un peu brève, suffit pour justifier le refus de toute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