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405</w:t>
      </w:r>
    </w:p>
    <w:p>
      <w:r>
        <w:t>Bundesgericht (BGE), 1962-01-01, DE</w:t>
      </w:r>
    </w:p>
    <w:p>
      <w:r>
        <w:rPr>
          <w:b/>
        </w:rPr>
        <w:t xml:space="preserve">Quelle: </w:t>
      </w:r>
      <w:r>
        <w:t>https://mcp.opencaselaw.ch/entscheid/bge_BGE_88_II_405</w:t>
      </w:r>
    </w:p>
    <w:p>
      <w:r>
        <w:t>FR: ATF 88 II 405</w:t>
      </w:r>
    </w:p>
    <w:p>
      <w:r>
        <w:t>IT: DTF 88 II 405</w:t>
      </w:r>
    </w:p>
    <w:p>
      <w:pPr>
        <w:pStyle w:val="Heading2"/>
      </w:pPr>
      <w:r>
        <w:t>Regeste</w:t>
      </w:r>
    </w:p>
    <w:p>
      <w:r>
        <w:t>Regeste Entmündigung gemäss Art. 370 ZGB. Langjähriges gewohnheitsmässiges Delinquieren stellt lasterhaften Lebenswandel im Sinne von Art. 370 ZGB dar. Sind Grund und Voraussetzungen zu daheriger Bevormundung gegeben, so wird diese durch bereits bestehende strafrechtliche Vorbeugungsmassnahmen - bedingte Entlassung mit Schutzaufsicht, Androhung der Verwahrung - nicht überflüssig gemacht.</w:t>
      </w:r>
    </w:p>
    <w:p>
      <w:r>
        <w:t>Regeste Interdiction selon l'art. 370 CC. Le fait de commettre habituellement des délits pendant plusieurs années constitue l'inconduite au sens de l'art. 370 CC. Lorsque les conditions justifiant l'interdiction pour ce motif sont réunies, les mesures préventives déjà prises en application du code pénal - libération conditionnelle avec patronage, menace d'internement - ne la rendent pas superflue.</w:t>
      </w:r>
    </w:p>
    <w:p>
      <w:r>
        <w:t>Regesto Interdizione secondo l'art. 370 CC. L'abituale consumazione di reati durante parecchi anni costituisce scostumatezza nel senso dell'art. 370 CC. Se i motivi e i presupposti che giustificano l'interdizione sono dati, le misure preventive già ordinate in applicazione del codice penale - liberazione condizionale con patronato, minaccia d'internamento - non la rendono superflua.</w:t>
      </w:r>
    </w:p>
    <w:p>
      <w:pPr>
        <w:pStyle w:val="Heading2"/>
      </w:pPr>
      <w:r>
        <w:t>Erwägungen</w:t>
      </w:r>
    </w:p>
    <w:p>
      <w:r>
        <w:rPr>
          <w:b/>
        </w:rPr>
        <w:t>E. 1</w:t>
      </w:r>
    </w:p>
    <w:p>
      <w:r>
        <w:t>Die Vorinstanzen weichen in der Qualifikation der bisherigen Lebensführung des Interdizenden im Grunde von der Auffassung des Bezirksrates und der Vormundschaftsbehörde nicht wesentlich ab, wohl aber bezüglich der praktischen Zweckmässigkeit und Notwendigkeit der streitigen Massnahme. Als lasterhaft hat nach der Rechtsprechung zu Art. 370 ZGB jedes Verhalten zu gelten, das in erheblichem Masse gegen die Rechtsordnung oder die guten Sitten verstösst. Für die Annahme, dass der Lebenswandel lasterhaft sei, genügt eine einzelne Verfehlung nicht, sondern es muss sich um ein fortgesetztes, gewohnheitsmässiges Verhalten der erwähnten Art handeln, von dem anzunehmen ist, dass es auch in Zukunft andauern würde, wenn keine vormundschaftlichen Massnahmen ergriffen würden ( BGE 88 II 402 und dortige Zitate). Mit einem solchen Falle hat man es hier zu tun. Die zahlreichen Verurteilungen haben nicht vermocht, den Interdizenden dauernd zu bessern, jedenfalls wird dies BGE 88 II 405 S. 408 durch die letzte, klaglos verlaufene Zeit noch nicht bewiesen. Auch die Entmündigungsvoraussetzungen sind gegeben. Bei weiterem Delinquieren wäre mit neuen Freiheitsstrafen und der Schädigung oder Vernichtung der wirtschaftlichen Existenz zu rechnen. Ein Bedürfnis nach persönlicher Betreuung und Überwachung besteht nicht nur im Interesse der Vermeidung wirtschaftlicher Nachteile, sondern auch im Hinblick auf die Bewahrung der Persönlichkeit vor dem moralischen und sozialen Niedergang. Endlich wurden durch die Vermögensdelikte immer auch Dritte geschädigt.</w:t>
      </w:r>
    </w:p>
    <w:p>
      <w:r>
        <w:rPr>
          <w:b/>
        </w:rPr>
        <w:t>E. 2</w:t>
      </w:r>
    </w:p>
    <w:p>
      <w:r>
        <w:t>Die Vorinstanzen lehnen die Entmündigung ab, weil die bereits bestehenden strafrechtlichen Vorbeugungsmassnahmen - Schutzaufsicht und Androhung der Verwahrung - den erwähnten Zwecken genügten und ein Vormund kaum grössere Wirkungsmöglichkeiten hätte, die Bevormundung mithin auf eine Zweispurigkeit der Massnahmen hinausliefe. Freilich bestand zur Zeit der Einführung des ZGB mit seinem Bevormundungsgrund des Art. 370 das Schweizerische Strafgesetzbuch mit seinen Präventivmassnahmen der Verwahrung, der bedingten Entlassung bei Freiheitsstrafen und der Schutzaufsicht noch nicht. Es fragt sich daher in der Tat, ob diese Massnahmen das Anwendungsgebiet des Art. 370 ZGB , soweit dauerndes Delinquieren darunter fällt, eingeschränkt haben. Dies ist indessen zu verneinen. Die Vormundschaft ist in ihren Wirkungen umfassender, ergreift die ganze Persönlichkeit des Mündels und gibt dem Vormund weitgehende Eingriffsmöglichkeiten ( Art. 406, 407, 412 ZGB ). Mit Bezug auf alle Bevormundungsgründe hat die Rechtsprechung immer angenommen, dass bei gegebenen Voraussetzungen die Entmündigung ausgesprochen werden muss, auch wenn die Schutz- und Fürsorgeaufgabe z.B. von Angehörigen aus freien Stücken besorgt wird ( BGE 50 II 437 ); die Vormundschaft wird also nicht durch anderweitige Wahrung ihrer Zwecke überflüssig gemacht. Ferner wurde - allerdings mit Bezug auf BGE 88 II 405 S. 409 die Entmündigung gemäss Art. 369 ZGB - wiederholt entschieden, dass bei gegebenem Bevormundungsgrund die Entmündigung auszusprechen ist, selbst wenn diese Massnahme den Geisteszustand ungünstig beeinflussen kann, dass also psychotherapeutische Rücksichten keine Rolle spielen sollen (Urteile vom 24. März 1959 i.S. Bossart, vom 4. April 1959 i.S. Ruf, vom 13. September 1960 i.S. Zürcher). Ebensowenig vermag eine unter der Drohung des Entmündigungsverfahrens eingetretene momentane Besserung eines Interdizenden der Entmündigung (nach Art. 370 ZGB ) den Boden zu entziehen; und wenn eine Bewährungsfrist als wünschbar erscheint, so ist nicht deswegen die Entmündigung zu unterlassen oder zu verschieben, sondern die Bewährungsprobe ist unter bestehender Vormundschaft zu bestehen ( BGE 86 II 6 , BGE 85 II 461 ; Urteile vom 28. März 1961 i.S. Stierli, vom 14. April 1961 i.S. Schneider). Wenn selbstverständlich in jedem konkreten Fall bei der Beurteilung der Notwendigkeit und Zweckmässigkeit einer Bevormundung das Bestehen strafrechtlicher Präventiv- und Fürsorgemassnahmen berücksichtigt werden kann, so soll doch das zivilrechtliche Institut nicht zu bloss subsidiärer Geltung zurückgedrängt werden. Wie der Bezirksrat zutreffend ausführt, stehen dem Vormund, wenn er seinen Schutzbefohlenen auch nicht vor jedem Rückfall bewahren kann, doch viele Einflussmöglichkeiten zur Verfügung, um die moralische Aufrichtung und soziale Wiedereingliederung des Bevormundeten zu erleichtern und zu fördern. Im vorliegenden Falle hat übrigens die Vormundschaftsbehörde nicht die Bestellung eines überlasteten Amtsvormundes, sondern eines besonders ad hoc ausgesuchten Vormundes in der Person eines ehemaligen Beamten des Fürsorgeamtes in Aussicht genommen, der sowohl die Erfahrung als auch die Zeit zu individueller Betreuung des Mündels haben soll. Auch bleibt grundsätzlich immer noch die Möglichkeit, die Vormundschaft der Ehefrau zu übertragen (vgl. Prof. MERZ in ZSR NF Band 81 I S. 34 ff.). Jedenfalls sind in casu die Konflikte, die aus BGE 88 II 405 S. 410 einer partiellen Doppelspurigkeit der Massnahmen entstehen könnten, nicht derart, dass die Ordnung des ZGB als zum Teil überholt und überflüssig zurückzutreten hätte. Es ist daher dem Begehren der antragstellenden Behörden stattzugeben und die Bevormundung, für welche die gesetzlichen Voraussetzungen zweifellos gegeben sind, auszusprechen. Die Bevormundung hat den Entzug der elterlichen Gewalt von Gesetzes wegen zur Folge ( Art. 285 Abs. 1 ZGB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