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400</w:t>
      </w:r>
    </w:p>
    <w:p>
      <w:r>
        <w:t>Bundesgericht (BGE), 1962-01-01, DE</w:t>
      </w:r>
    </w:p>
    <w:p>
      <w:r>
        <w:rPr>
          <w:b/>
        </w:rPr>
        <w:t xml:space="preserve">Quelle: </w:t>
      </w:r>
      <w:r>
        <w:t>https://mcp.opencaselaw.ch/entscheid/bge_BGE_88_II_400</w:t>
      </w:r>
    </w:p>
    <w:p>
      <w:r>
        <w:t>FR: ATF 88 II 400</w:t>
      </w:r>
    </w:p>
    <w:p>
      <w:r>
        <w:t>IT: DTF 88 II 400</w:t>
      </w:r>
    </w:p>
    <w:p>
      <w:pPr>
        <w:pStyle w:val="Heading2"/>
      </w:pPr>
      <w:r>
        <w:t>Regeste</w:t>
      </w:r>
    </w:p>
    <w:p>
      <w:r>
        <w:t>Regeste Entmündigung wegen lasterhaften Lebenswandels (Art. 370 ZGB). Begriff desselben. Einordnung des Falles, dass das Verhalten der zu entmündigenden Person einen dauernden Hang zur Kriminalität zeigt. Gefährdung der Sicherheit Anderer durch Vermögensdelikte. Ist von der Entmündigung abzusehen, weil sie wegen ablehnender Einstellung des zu Entmündigenden keinen Erfolg verspricht oder weil eine mildere Massnahme ausreicht? Sind bei einer zu einer längern Freiheitsstrafe verurteilten Person die Voraussetzungen für die Entmündigung nach Art. 370 ZGB gegeben, so ist diese Bestimmung und nicht Art. 371 ZGB anzuwenden.</w:t>
      </w:r>
    </w:p>
    <w:p>
      <w:r>
        <w:t>Regeste Interdiction pour cause d'inconduite (art. 370 CC). Notion de l'inconduite. Elle comprend le cas du dénoncé qui montre un penchant durable à la criminalité. Délits contre le patrimoine mettant en danger la sécurité d'autrui. Faut-il renoncer à l'interdiction, parce qu'elle semble vouée à l'échec en raison de l'attitude négative du dénoncé ou parce qu'une mesure plus douce serait suffisante? Lorsque les conditions d'interdiction posées à l'art. 370 CC sont réunies à l'endroit d'une personne condamnée à une peine privative de liberté d'une certaine durée, il faut appliquer cette disposition et non l'art. 371 CC.</w:t>
      </w:r>
    </w:p>
    <w:p>
      <w:r>
        <w:t>Regesto Interdizione per scostumatezza (art. 370 CC). Nozione di scostumatezza. Questa comprende il caso della persona di cui è proposta l'interdizione che dimostra una durevole tendenza alla criminalità. Reati contro il patrimonio che mettono in pericolo l'altrui sicurezza. Devesi rinunciare all'interdizione quando la stessa non appare efficace a motivo dell'attitudine negativa della persona denunciata o quando una misura più mite appare sufficiente? Quando le condizioni d'interdizione poste all'art. 370 CC sono adempiute in una persona condannata a una pena privativa della libertà di una determinata durata, si deve applicare questo disposto e non l'art. 371 CC.</w:t>
      </w:r>
    </w:p>
    <w:p>
      <w:pPr>
        <w:pStyle w:val="Heading2"/>
      </w:pPr>
      <w:r>
        <w:t>Erwägungen</w:t>
      </w:r>
    </w:p>
    <w:p>
      <w:r>
        <w:rPr>
          <w:b/>
        </w:rPr>
        <w:t>E. 3</w:t>
      </w:r>
    </w:p>
    <w:p>
      <w:r>
        <w:t>In der Sache selbst bestreitet der Berufungskläger mit Recht nicht, dass seine Entmündigung wegen lasterhaften Lebenswandels im Sinne von Art. 370 ZGB als gerechtfertigt erscheint, wenn auf die tatsächlichen Feststellungen der Vorinstanz abgestellt wird, wie dies nach Art. 63 Abs. 2 OG zu geschehen hat. a) Als lasterhaft hat nach Rechtsprechung und Lehre zu Art. 370 ZGB nicht nur ein unmoralisches Verhalten in geschlechtlicher Beziehung, sondern jedes Verhalten zu gelten, das in erheblichem Masse gegen die Rechtsordnung oder die guten Sitten verstösst. Für die Annahme, dass der Lebenswandel lasterhaft sei, genügt eine einzelne Verfehlung nicht, sondern es muss sich um ein fortgesetztes, gewohnheitsmässiges Verhalten der erwähnten Art handeln, von dem anzunehmen ist, dass es auch in Zukunft andauern würde, wenn keine vormundschaftlichen Massnahmen ergriffen würden ( BGE 69 II 18 , BGE 83 II 275 ; EGGER, 2. Aufl., N. 45 und 46, und KAUFMANN, 2. Aufl., N. 23 und 24 zu Art. 370 ZGB ; KEEL, Die Bevormundungsfälle, in "Das Vormundschaftsrecht", Veröffentlichungen der schweiz. Verwaltungskurse an der Handelshochschule St. Gallen, Band 1, S. 36; SUTER, Verschwendung, Misswirtschaft, Trunksucht und lasterhafter Lebenswandel als Entmündigungsgründe, S. 60 f.). Mit einem solchen Falle hat man es hier zu tun. In den Jahren 1955 bis 1957 hat der Berufungskläger immer wieder gegen das Strafgesetz verstossen. Während der Strafuntersuchung, die wegen seiner ersten Vergehen gegen ihn eröffnet wurde, hat er sich nicht gebessert, sondern zahlreiche weitere Straftaten BGE 88 II 400 S. 403 begangen. Die erste Verurteilung hielt ihn nicht davon ab, rückfällig zu werden, und selbst die zweite Bestrafung hat bei ihm offenbar keine Sinnesänderung bewirkt; hatte er doch die Stirn, noch am 28. August 1961, bei der zweiten Vernehmung durch die Vormundschaftsbehörde im vorliegenden Verfahren, jede Schuld zu bestreiten und zu erklären, das Urteil des Schwurgerichts sei für ihn unverständlich. Sein Verhalten während der letzten Jahre zeigt also einen dauernden Hang zur Kriminalität. Die Vorinstanz hat ihm daher zu Recht einen lasterhaften Lebenswandel im Sinne von Art. 370 ZGB vorgeworfen. b) Ein Verhalten, das unter Art. 370 ZGB fällt, kann nach dieser Bestimmung die Entmündigung nur rechtfertigen, wenn die betreffende Person sich oder ihre Familie dadurch der Gefahr eines Notstandes oder der Verarmung aussetzt, zu ihrem Schutze dauernd des Beistandes und der Fürsorge bedarf oder die Sicherheit Anderer gefährdet. Von diesen drei Voraussetzungen (die nicht zugleich erfüllt sein müssen) ist hier auf jeden Fall die zuletzt genannte gegeben. Durch seine Vergehen gefährdet der Berufungskläger das Vermögen Dritter und damit die Sicherheit Anderer (EGGER N. 51 z. Art. 370 ZGB ). Es braucht daher nicht geprüft zu werden, ob die aus den Delikten entstehende Pflicht, den Geschädigten Schadenersatz zu leisten und die Kosten der Strafverfahren zu bezahlen, den Berufungskläger der Gefahr eines Notstandes oder der Verarmung aussetze, wie die Vorinstanz dies ausserdem angenommen hat. c) Die Entmündigung nach Art. 370 ZGB ist nur dann sinnvoll, wenn dadurch dem Entmündigungsgrund oder wenigstens seinen Folgen entgegengetreten werden kann und andere, weniger einschneidende Massnahmen nicht genügen ( BGE 46 II 211 E. 4, BGE 69 II 19 E. 3). Das Obergericht hat dies nicht verkannt. Es durfte sehr wohl annehmen, dass ein Vormund beim Berufungskläger trotz der ablehnenden Einstellung, die er zur Zeit noch an den Tag legt, durch geeignete Betreuung und Beeinflussung (Ermutigung BGE 88 II 400 S. 404 zur Arbeit, Kontrolle der Verwendung der Freiheit usw.) eine Wendung zum Bessern anbahnen könne. Zur Erfüllung dieser Aufgabe erscheint die mit dem Amt eines Vormundes verbundene Autorität als unerlässlich; ein blosser Berater wäre von vornherein nicht in der Lage, den Berufungskläger vor einem neuen Rückfall zu bewahren (vgl. hiezur MAGET, Le choix de la mesure tutélaire adéquate dans les cas des art. 369 à 372 CC, S. 161). Die Betrachtungsweise der Vormundschaftsbehörde und des Bezirksgerichts, welche die Entmündigung nach Art. 370 ZGB im Ergebnis von der Zustimmung des zu Entmündigenden abhängig macht, ist mit dem Wortlaut und dem Sinne des Gesetzes unvereinbar. Wenn der Berufungskläger nach seiner Entlassung aus der Strafanstalt Schwierigkeiten haben wird, sich wieder in das Erwerbsleben und die menschliche Gesellschaft einzugliedern, so wird dies nicht auf die Entmündigung, sondern vor allem auf seine Vorstrafen zurückzuführen sein. d) Der Umstand, dass für den zu zwei Jahren Gefängnis verurteilten Berufungskläger der Entmündigungsgrund von Art. 371 ZGB zutrifft, steht der Anwendung von Art. 370 ZGB nicht entgegen. Sind bei einer zu einer längern Freiheitsstrafe verurteilten Person die Voraussetzungen für eine Entmündigung nach Art. 370 ZGB gegeben, so ist sie nach dieser Bestimmung und nicht nach Art. 371 ZGB zu entmündigen; denn eine solche Person bedarf eines Vormundes vor allem auch nach der endgültigen Entlassung aus der Strafhaft, in welchem Zeitpunkt eine auf Grund von Art. 371 ZGB angeordnete Vormundschaft gemäss Art. 432 ZGB ohne weiteres aufhört, so dass bei Konkurrenz von Art. 370 und 371 diese letztere Bestimmung zurückzutreten hat (vgl. MAGET a.a.O. S. 169; SPECKER, Der Strafverhaft als Entmündigungsgrund, ZSR 1946 S. 307; SPITZER'Zur Anwendung von Art. 371 ZGB , SJZ 1946 S. 10 oben; vgl. KAUFMANN N. 27 zu Art. 370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