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325</w:t>
      </w:r>
    </w:p>
    <w:p>
      <w:r>
        <w:t>Bundesgericht (BGE), 1962-01-01, FR</w:t>
      </w:r>
    </w:p>
    <w:p>
      <w:r>
        <w:rPr>
          <w:b/>
        </w:rPr>
        <w:t xml:space="preserve">Quelle: </w:t>
      </w:r>
      <w:r>
        <w:t>https://mcp.opencaselaw.ch/entscheid/bge_BGE_88_II_325</w:t>
      </w:r>
    </w:p>
    <w:p>
      <w:r>
        <w:t>FR: ATF 88 II 325</w:t>
      </w:r>
    </w:p>
    <w:p>
      <w:r>
        <w:t>IT: DTF 88 II 325</w:t>
      </w:r>
    </w:p>
    <w:p>
      <w:pPr>
        <w:pStyle w:val="Heading2"/>
      </w:pPr>
      <w:r>
        <w:t>Regeste</w:t>
      </w:r>
    </w:p>
    <w:p>
      <w:r>
        <w:t>Regeste Internationales Privatrecht. 1. Rechtswahl (Erw. 1). 2. Massgebliches Recht in Bezug auf die Qualifikation des Rechtsverhältnisses und auf den sog. Alleinvertretungsvertrag (Erw. 2).</w:t>
      </w:r>
    </w:p>
    <w:p>
      <w:r>
        <w:t>Regeste Droit international privé. 1. Election de droit (consid. 1). 2. Droit applicable à la qualification du rapport juridique et au contrat dit de représentation exclusive (consid. 2).</w:t>
      </w:r>
    </w:p>
    <w:p>
      <w:r>
        <w:t>Regesto Diritto internazionale privato. 1. Scelta del diritto applicabile (consid. 1). 2. Diritto applicabile alla qualificazione del rapporto giuridico e al cosiddetto contratto di rappresentanza esclusiva (consid. 2).</w:t>
      </w:r>
    </w:p>
    <w:p>
      <w:pPr>
        <w:pStyle w:val="Heading2"/>
      </w:pPr>
      <w:r>
        <w:t>Erwägungen</w:t>
      </w:r>
    </w:p>
    <w:p>
      <w:r>
        <w:rPr>
          <w:b/>
        </w:rPr>
        <w:t>E. 1</w:t>
      </w:r>
    </w:p>
    <w:p>
      <w:r>
        <w:t>Le Tribunal de commerce admet que les parties ont choisi le droit suisse parce qu'elles en ont requis l'application dans leurs mémoires et en cours de procédure sans se référer à la législation de l'Arabie Séoudite. L'intimée conclut à l'irrecevabilité du recours (art. 43 OJ); BGE 88 II 325 S. 327 ni elle-même, ni les recourants ne s'étant exprimés consciemment sur le droit applicable, la loi étrangère régit, faute d'élection en faveur du droit interne, le contrat qui liait les parties; celles-ci ont consenti simplement à ce que le juge appliquât les dispositions qu'il connaissait le mieux. Lorsque, dans le procès, les parties invoquent de façon concordante une législation déterminée, elles ne font une élection de droit que si elles ont la conscience et la volonté de faire un tel acte juridique (RO 87 II 200/201; SCHÖNENBERGER/JÄGGI, Allgemeine Einleitung, Nos 208, 210, 243, 245, 248; NIEDERER, Festgabe für den Schweizerischen Juristentag 1961, p. 68 à 70; LALIVE, ZSR 1962 I p. 168). En l'espèce, le problème de droit international privé leur a échappé. Elles n'ont manifestement pas recherché si le droit de l'Arabie Séoudite s'appliquait en soi ni voulu, dans l'affirmative, que le juge s'en tînt néanmoins aux règles, connues, du droit suisse. Les demandeurs, en effet, se sont bornés à citer, sur un point de détail et à tort, l'art. 417 CO; la défenderesse, de son côté, s'est référée, en passant, à diverses dispositions du code fédéral des obligations. Le jugement attaqué constate, certes, que les parties ont invoqué la loi interne en cours de procédure. Rien toutefois ne permet de penser qu'elles se sont posé la question du droit applicable et qu'elles l'ont résolue par un accord conscient. Il s'ensuit que le tribunal doit examiner, pour s'assurer de la recevabilité du recours, quel droit régit, objectivement, les relations juridiques litigieuses.</w:t>
      </w:r>
    </w:p>
    <w:p>
      <w:r>
        <w:rPr>
          <w:b/>
        </w:rPr>
        <w:t>E. 2</w:t>
      </w:r>
    </w:p>
    <w:p>
      <w:r>
        <w:t>Pour ce faire, il faut d'abord décider, d'après le droit suisse (SCHÖNENBERGER/JÄGGI, ibidem, No 97 sv.), quelle est la nature des relations qui ont existé entre parties. Si elles ne ressortissaient pas au droit, elles n'entraînaient aucune sanction juridique et l'action est d'emblée mal fondée. Dans le cas contraire, il s'agissait non pas d'un contrat d'agence, mais d'une convention de représentation exclusive. BGE 88 II 325 S. 328 L'agent, en effet, prend à titre permanent l'engagement de négocier la conclusion d'affaires pour un ou plusieurs mandants ou d'en conclure en leur nom et pour leur compte (art. 418 a CO). Or, les recourants achetaient ferme, en leur nom et pour eux-mêmes, les montres qu'ils revendaient. Ce point est essentiel. Peu importe qu'ils aient oeuvré à titre permanent ou provisoire, qu'ils aient été inscrits sur une liste des distributeurs ou des représentants de l'exportateur, qu'enfin la correspondance produite les traite de vendeurs ou de représentants, termes que la langue commerciale ne prend pas toujours dans un sens juridique précis et univoque. Il suit de là que le développement des relations contractuelles revêtait plutôt les caractères de la représentation exclusive (RO 78 II 34, 367; 78 II 812 ; 88 II 170 sv.). La clause usuelle exigeant un chiffre d'affaires minimum, qui fait défaut en l'espèce, n'est pas essentielle. Quant à la liberté de résilier le contrat que s'est constamment réservée l'intimée, elle n'en touche pas la nature. Mais vu cette précarité même, il n'est pas de raison de s'écarter de la règle ordinaire de conflit valable pour la vente; aussi le droit applicable est-il celui du domicile du vendeur, soit le droit suisse (v. notamment RO 79 II 165/6, 297/8). Ce droit décide à la fois si un contrat a été conclu et quels en sont les effets (RO 88 II 198/9). Vu ce qui précède, le recours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