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319</w:t>
      </w:r>
    </w:p>
    <w:p>
      <w:r>
        <w:t>Bundesgericht (BGE), 1962-01-01, FR</w:t>
      </w:r>
    </w:p>
    <w:p>
      <w:r>
        <w:rPr>
          <w:b/>
        </w:rPr>
        <w:t xml:space="preserve">Quelle: </w:t>
      </w:r>
      <w:r>
        <w:t>https://mcp.opencaselaw.ch/entscheid/bge_BGE_88_II_319</w:t>
      </w:r>
    </w:p>
    <w:p>
      <w:r>
        <w:t>FR: ATF 88 II 319</w:t>
      </w:r>
    </w:p>
    <w:p>
      <w:r>
        <w:t>IT: DTF 88 II 319</w:t>
      </w:r>
    </w:p>
    <w:p>
      <w:pPr>
        <w:pStyle w:val="Heading2"/>
      </w:pPr>
      <w:r>
        <w:t>Regeste</w:t>
      </w:r>
    </w:p>
    <w:p>
      <w:r>
        <w:t>Regeste Unlauterer Wettbewerb. Art. 1 Abs.2lit. g UWG. Fabrikationsgeheimnis. Geheimhaltungspflicht des Angestellten (Erw. 1). Art.2Abs. 1 lit. b und c UWG. Zerstörung von Maschinen, deren Fabrikationsgeheimnis ausgekundschaftet oder in einer andern gegen Treu und Glauben verstossenden Weise in Erfahrung gebracht worden ist (Erw. 2).</w:t>
      </w:r>
    </w:p>
    <w:p>
      <w:r>
        <w:t>Regeste Concurrence déloyale. Art. 1er al.2litt.gLCD. Secret de fabrication. Obligation de discrétion incombant à l'employé (consid. 1). Art. 2al. 1 litt. b et c LCD. Destruction des machines dont le secret de fabrication a été surpris ou appris d'une autre manière contraire à la bonne foi (consid. 2).</w:t>
      </w:r>
    </w:p>
    <w:p>
      <w:r>
        <w:t>Regesto Concorrenza sleale. Art. 1 cpv.2,lett. g LCS. Segreto di fabbrica. Obbligo di discrezione incombente all'impiegato (consid. 1). Art. 2cpv. 1 lett. b e c LCS. Distruzione delle macchine, il cui segreto di fabbrica è stato sorpreso o appreso in altro modo contrario alla buona fede (consid. 2).</w:t>
      </w:r>
    </w:p>
    <w:p>
      <w:pPr>
        <w:pStyle w:val="Heading2"/>
      </w:pPr>
      <w:r>
        <w:t>Erwägungen</w:t>
      </w:r>
    </w:p>
    <w:p>
      <w:r>
        <w:rPr>
          <w:b/>
        </w:rPr>
        <w:t>E. 1</w:t>
      </w:r>
    </w:p>
    <w:p>
      <w:r>
        <w:t>Est réputé concurrence déloyale tout abus de la concurrence économique résultant d'une tromperie ou d'un autre procédé contraire aux règles de la bonne foi. Enfreint notamment ces règles celui qui exploite ou divulgue des BGE 88 II 319 S. 322 secrets de fabrication qu'il a surpris ou a appris d'une autre manière contraire à la bonne foi (art. 1er al. 1 et al. 2 litt. g LCD). Le droit subjectif à la sphère personnelle protège aussi le détenteur du secret de fabrication (art. 28 CC; RO 64 II 169 consid. 6). Faute de recours de l'intimée et vu les motifs du recours, dont la portée est plus restreinte que celle des conclusions, seule reste litigieuse l'exploitation des machines à cimenter, à redresser et à décimenter les pierres. Constitue l'objet d'un secret de fabrication le mécanisme ou le procédé original qui n'est pas notoire ni accessible à tout venant et que le détenteur, en raison d'un intérêt justifié, ne veut pas divulguer (RO 64 II 170; 80 IV 27 consid. 2 a). Le droit au secret dépend de la possibilité d'exclure d'autres personnes de la jouissance du bien qu'on entend leur cacher. Celui qui acquiert de façon licite la connaissance d'un secret et en a conscience ne doit être discret, pendant la durée de ses services et après, que si des rapports juridiques spéciaux le lui imposent; tel est le cas lorsqu'il en a été expressément convenu ainsi ou lorsqu'on peut inférer des circonstances que l'initiation n'a lieu que si l'initié ne fait pas usage de la connaissance acquise (clauses du contrat, formation de l'employé, sa situation, sa rémunération, son champ d'activité; cf. RO 25 II 527; arrêt Jaccard c. Gueissaz, du 22 juin 1948). Faute de secret, c'est à la protection spéciale du brevet que l'auteur d'un mécanisme ou d'un procédé original doit recourir. La Cour cantonale constate souverainement (art. 63 al. 2 OJ) que les frères Cotter pouvaient, quand ils étaient employés de la recourante, découvrir le mécanisme des machines à cimenter, à redresser et à décimenter les pierres qu'ils avaient pour mission de desservir. Il n'existe pas de circonstances permettant d'affirmer, faute de convention, que malgré la connaissance licite qu'ils acquéraient, ils étaient tenus à la discrétion. Les machines en effet n'avaient pas été installées à l'écart, dans un local réservé BGE 88 II 319 S. 323 à cet effet et auquel seuls quelques employés eussent eu accès. Quant à eux-mêmes, ils étaient simples ouvriers: ni les bases du contrat, ni leur formation, leur rémunération ou leur situation dans l'entreprise n'impliquaient un rapport de confiance particulier. Ils étaient d'autant moins tenus de ne pas faire usage des connaissances acquises que l'employeur n'avait guère la possibilité effective de tenir secret le mécanisme de ses machines. Peu importe que, l'ayant découvert, les frères Cotter ne purent le reproduire sans autre: c'est là une circonstance relative aux conditions dans lesquelles il a été surpris, soit au second élément de l'état de fait visé par l'art. 1er al. 2 litt. g LCD.</w:t>
      </w:r>
    </w:p>
    <w:p>
      <w:r>
        <w:rPr>
          <w:b/>
        </w:rPr>
        <w:t>E. 2</w:t>
      </w:r>
    </w:p>
    <w:p>
      <w:r>
        <w:t>Celui qui, par un acte de concurrence déloyale, est atteint ou menacé dans ses intérêts matériels en général peut demander la cessation de cet acte et la suppression de l'état de fait qui en résulte (art. 2 al. 1 litt. b et c LCD). Le jugement attaqué reconnaît que la destruction des commandes des broches de porte-pierres et du diviseur automatique est conforme à cette disposition; mais il la croit inutile. Constituant en l'espèce la sanction logique et élémentaire de l'acte illicite, la destruction, prévue par la loi, doit être ordonnée. Qu'elle ne serve peut-être "à rien", vu la persévérance des délinquants, c'est là tout au plus une question d'opportunité, non d'impossibilité de l'exécution. D'ailleurs, si l'intimée ou ses associés font construire des appareils identiques, ils commettront une nouvelle infraction. Certes, le secret à été divulgué en tout cas à Bunter SA et le bien protégé à l'art. 1er al. 2 litt. g LCD n'existe plus. Les frères Cotter et leur société toutefois, eux du moins, ne sauraient persister dans l'usage d'un bien acquis par un délit sans violer gravement les règles de la bonne foi (art. 1er al. 1 LCD). Ils ne peuvent se prévaloir de la divulgation, conséquence de leur infraction: nemo auditur turpitudinem suam allegans. De plus, en persévérant, ils contrediraient l'interdiction implicitement contenue dans l'ordre de destruction émanant du tribunal, qui BGE 88 II 319 S. 324 les menacera d'office, pour le cas où ils refuseraient de s'y conformer, des peines prévues pour l'insoumission par l'art. 292 CP (art. 40 OJ et 76 al. 1 LPC). Vu ce qui précède, on détruira les machines placées sous séquestre et celles que l'intimée, à en croire le jugement attaqué, a fait fabriquer pour éluder les effets du séquestre. En raison de la menace créée par la persévérance des concurrents déloyaux (art. 2 al. 1 LCD), il leur est en outre interdit d'utiliser à l'avenir aucune machine identique à celles qui furent séquestrées. La requête de la recourante tendante à cette mesure est contenue implicitement tant dans la demande de destruction que dans celle visant la fermeture de l'usine de Vétroz (dite fermeture faisant obstacle à l'utilisation de nouveaux moyens de fabrication). . . . . . . . . . . . . . . . . . . .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