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313</w:t>
      </w:r>
    </w:p>
    <w:p>
      <w:r>
        <w:t>Bundesgericht (BGE), 1962-01-01, FR</w:t>
      </w:r>
    </w:p>
    <w:p>
      <w:r>
        <w:rPr>
          <w:b/>
        </w:rPr>
        <w:t xml:space="preserve">Quelle: </w:t>
      </w:r>
      <w:r>
        <w:t>https://mcp.opencaselaw.ch/entscheid/bge_BGE_88_II_313</w:t>
      </w:r>
    </w:p>
    <w:p>
      <w:r>
        <w:t>FR: ATF 88 II 313</w:t>
      </w:r>
    </w:p>
    <w:p>
      <w:r>
        <w:t>IT: DTF 88 II 313</w:t>
      </w:r>
    </w:p>
    <w:p>
      <w:pPr>
        <w:pStyle w:val="Heading2"/>
      </w:pPr>
      <w:r>
        <w:t>Regeste</w:t>
      </w:r>
    </w:p>
    <w:p>
      <w:r>
        <w:t>Regeste 1. Haftung für die Körperverletzung, die ein Halter dem andern zufügt. Die Verweisung in Art. 39 Satz 1 MFG auf "dieses Gesetz" bezieht sich auf Art. 37, nicht auf Art. 38 MFG (Bestätigung der Rechtsprechung) (Erw. 1). 2. Haftung des Fahrlehrers, der einem Schüler auf einer Lernfahrt beisteht. Der Lehrer trägt die Verantwortung des Führers. Das Gesetz stellt eine widerlegbare Vermutung auf, wonach nicht der Schüler, sondern der Lehrer im Verschulden ist. Dieser kann sich befreien, indem er beweist, dass der Fehler vom Fahrschüler begangen wurde (Erw. 6).</w:t>
      </w:r>
    </w:p>
    <w:p>
      <w:r>
        <w:t>Regeste 1. Responsabilité civile en cas de dommage corporel causé par un détenteur à un autre détenteur. Le renvoi de l'art. 39 1re phrase LA à "la présente loi" vise l'art. 37, non l'art. 38 LA (confirmation de la jurisprudence) (consid. 1). 2. Responsabilité civile du moniteur qui assiste un élève conducteur dans une course d'apprentissage. Le moniteur assume la responsabilité civile du conducteur. La loi pose une présomption réfragable selon laquelle la faute éventuelle est attribuée non à l'élève conducteur, mais au moniteur. Celui-ci peut se libérer en prouvant que la faute a été commise par l'élève conducteur (consid. 6).</w:t>
      </w:r>
    </w:p>
    <w:p>
      <w:r>
        <w:t>Regesto 1. Responsabilità civile in caso di danno corporale causato da un detentore a un altro detentore. Il rinvio dell'art. 39 1a frase LA alla "presente legge" si riferisce all'art. 37, non all'art. 38 LA (conferma della giurisprudenza) (consid. 1). 2. Responsabilità civile del monitore che assiste un allievo conducente in un viaggio di scuola-guida. Il monitore assume la responsabilità civile del conducente. La legge pone una presunzione confutabile secondo cui la colpa eventuale è attribuita non all'allievo conducente, ma al monitore. Questo può liberarsi provando che la colpa è stata commessa dall'allievo conducente (consid. 6).</w:t>
      </w:r>
    </w:p>
    <w:p>
      <w:pPr>
        <w:pStyle w:val="Heading2"/>
      </w:pPr>
      <w:r>
        <w:t>Erwägungen</w:t>
      </w:r>
    </w:p>
    <w:p>
      <w:r>
        <w:rPr>
          <w:b/>
        </w:rPr>
        <w:t>E. 1</w:t>
      </w:r>
    </w:p>
    <w:p>
      <w:r>
        <w:t>Le dommage qu'a subi Mazzone provient d'un accident causé par l'emploi de son scooter et de l'automobile d'Aleotti. C'est l'hypothèse envisagée par l'art. 39 LA, qui dispose: "Lorsqu'un détenteur cause un dommage corporel à un autre détenteur, la responsabilité civile est réglée d'après la présente loi...". Selon la jurisprudence, le renvoi vise l'art. 37 LA, non l'art. 38 LA, et se rapporte aux dispositions concernant le fond comme à celles qui règlent le fardeau de la preuve (RO 68 II 118 ss., 76 II 230, 78 II 461, 79 II 218, 84 II 307, 86 II 52). La répartition du préjudice entre les deux détenteurs impliqués dans l'accident dépend donc du risque inhérent à l'emploi de leurs véhicules et, le cas échéant, de l'existence et de la gravité des fautes qu'ils ont commises (arrêts cités). 2./4. - .....</w:t>
      </w:r>
    </w:p>
    <w:p>
      <w:r>
        <w:rPr>
          <w:b/>
        </w:rPr>
        <w:t>E. 5</w:t>
      </w:r>
    </w:p>
    <w:p>
      <w:r>
        <w:t>a) En raison de sa faute exclusive et grave, Aleotti doit supporter l'entier du dommage corporel subi par Mazzone, sans qu'on ait à tenir compte des risques inhérents à l'emploi des véhicules impliqués dans l'accident (RO 68 II 112, consid. 3 c). b) Quant au dommage matériel, la responsabilité civile est réglée d'après le code des obligations ( art. 39 2 e phrase BGE 88 II 313 S. 317 LA). Aleotti doit réparer aussi ce dommage, en raison de sa faute, selon les art. 41 ss. CO. c) Les recourants ne critiquent pas, avec raison, l'allocation à l'intimé d'une indemnité pour tort moral, qui est fondée au regard de l'art. 42 LA.</w:t>
      </w:r>
    </w:p>
    <w:p>
      <w:r>
        <w:rPr>
          <w:b/>
        </w:rPr>
        <w:t>E. 6</w:t>
      </w:r>
    </w:p>
    <w:p>
      <w:r>
        <w:t>a) Le Tribunal cantonal a retenu la responsabilité de Panizzi, en sa qualité de personne accompagnant un élève conducteur, sur la base de l'art. 14 al. 1 LA. Les recourants contestent qu'Aleotti, titulaire d'un permis de conduire italien, ait dû être accompagné par une personne munie du permis de conduire suisse. Ils invoquent une pratique administrative selon laquelle un Italien domicilié en Suisse peut conduire avec le permis de son pays d'origine, jusqu'à son examen de conducteur, afin de s'y préparer. Cette tolérance est cependant limitée, d'après les faits constatés par la juridiction cantonale, en ce sens qu'un étranger qui s'établit en Suisse ou dont le séjour durera plus de six mois doit se procurer un permis de conduire suisse dans un délai raisonnable, à savoir dans les deux ou trois mois qui suivent son arrivée en Suisse. Il n'est pas nécessaire, pour la solution du présent litige, d'examiner si cette pratique administrative est compatible avec les dispositions légales. De toute manière, en effet, Aleotti, domicilié en Suisse depuis 1955, n'était pas fondé à se prévaloir de son permis italien de 1954 pour conduire une automobile en 1958. Il l'a d'ailleurs si bien compris qu'il s'est procuré un permis suisse d'élève conducteur. Partant, il devait être accompagné d'un moniteur. b) Selon l'art. 14 al. 1 LA, celui qui accompagne un élève conducteur "assume la responsabilité légale". Les textes allemand et italien précisent que le moniteur assume la responsabilité du conducteur ("die Verantwortlichkeit als Führer", "la responsabilità del conducente"). Cette règle ne modifie pas la responsabilité légale du détenteur (art. 37 ss. LA). Elle signifie seulement que le moniteur répond, conformément aux art. 41 ss. CO, de toute violation fautive des devoirs du conducteur, d'une part, et qu'il ne doit pas être considéré comme un tiers BGE 88 II 313 S. 318 au sens de l'art. 37 LA, d'autre part. En assimilant le moniteur au conducteur, la loi ne pose d'ailleurs qu'une présomption réfragable selon laquelle la faute éventuelle est attribuée non pas à l'élève conducteur, mais au moniteur. Ce dernier peut se libérer en prouvant que la faute a été commise totalement ou partiellement par l'élève qui, par exemple, n'aurait pas suivi ses instructions par mauvaise volonté ou qui aurait exécuté une manoeuvre imprévisible et impossible à empêcher (STREBEL, Commentaire de la LA, note 23 ad art. 14, vol. I, p. 273 et 274). c) En l'espèce, Panizzi n'a pas rapporté la preuve libératoire qui lui incombait. Il résulte au contraire des faits constatés par la juridiction cantonale qu'il a donné à Aleotti un conseil erroné: enclencher la première vitesse, manoeuvre difficile et absorbante pour un élève, à l'entrée d'un virage où la visibilité est masquée. Le changement de vitesse devait être effectué plus tôt, avant de s'engager sur la pente ou, en tout cas, à un endroit où la visibilité s'étendait assez loin pour que l'élève ne s'expose pas au risque d'un croisement inopiné. En outre, Panizzi a laissé Aleotti commettre les erreurs relevées plus haut sans intervenir, alors qu'il aurait dû lui dire de prendre le virage à la corde, de réduire sa vitesse de manière à pouvoir s'arrêter immédiatement si un obstacle se présentait et d'avertir avant de s'engager dans le tournant où la visibilité était masquée. La passivité de Panizzi et le conseil erroné qu'il a donné à Aleotti constituent une faute en relation de causalité avec l'accident, qui l'oblige à réparer le dommage subi par Mazzone.</w:t>
      </w:r>
    </w:p>
    <w:p>
      <w:r>
        <w:rPr>
          <w:b/>
        </w:rPr>
        <w:t>E. 7</w:t>
      </w:r>
    </w:p>
    <w:p>
      <w:r>
        <w:t>Les recourants ne critiquent pas, avec raison, la solidarité de leurs obligations, qui résulte des art. 50 et 51 CO, ni la répartition interne du préjudice fixée par le Tribunal cantonal.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