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247</w:t>
      </w:r>
    </w:p>
    <w:p>
      <w:r>
        <w:t>Bundesgericht (BGE), 1962-01-01, DE</w:t>
      </w:r>
    </w:p>
    <w:p>
      <w:r>
        <w:rPr>
          <w:b/>
        </w:rPr>
        <w:t xml:space="preserve">Quelle: </w:t>
      </w:r>
      <w:r>
        <w:t>https://mcp.opencaselaw.ch/entscheid/bge_BGE_88_II_247</w:t>
      </w:r>
    </w:p>
    <w:p>
      <w:r>
        <w:t>FR: ATF 88 II 247</w:t>
      </w:r>
    </w:p>
    <w:p>
      <w:r>
        <w:t>IT: DTF 88 II 247</w:t>
      </w:r>
    </w:p>
    <w:p>
      <w:pPr>
        <w:pStyle w:val="Heading2"/>
      </w:pPr>
      <w:r>
        <w:t>Regeste</w:t>
      </w:r>
    </w:p>
    <w:p>
      <w:r>
        <w:t>Regeste Beiratschaft (Art. 395 ZGB). Voraussetzungen ihrer Anordnung. Übermässiger Aufwand? Berücksichtigung der Vermögenslage zur Zeit der Entscheidung.</w:t>
      </w:r>
    </w:p>
    <w:p>
      <w:r>
        <w:t>Regeste Conseil légal (art. 395 CC). Conditions de son institution. Dépenses exagérées? Prise en considération de la situation de fortune au moment de la décision.</w:t>
      </w:r>
    </w:p>
    <w:p>
      <w:r>
        <w:t>Regesto Assistente (art. 395 CC). Presupposti per la relativa nomima. Spese esagerate? Presa in considerazione della situazione patrimoniale al momento della decisione.</w:t>
      </w:r>
    </w:p>
    <w:p>
      <w:pPr>
        <w:pStyle w:val="Heading2"/>
      </w:pPr>
      <w:r>
        <w:t>Erwägungen</w:t>
      </w:r>
    </w:p>
    <w:p>
      <w:r>
        <w:rPr>
          <w:b/>
        </w:rPr>
        <w:t>E. 1</w:t>
      </w:r>
    </w:p>
    <w:p>
      <w:r>
        <w:t>Nach Art. 57 Abs. 5 OG wird die Entscheidung über die Berufung in der Regel bis zur Erledigung einer staatsrechtlichen Beschwerde ausgesetzt. So vorzugehen, ist jedoch nicht nötig, falls das mit der Berufung gestellte Rechtsbegehren aus Gründen des Bundesrechts sogar dann geschützt werden muss, wenn auf die mit der staatsrechtlichen Beschwerde angefochtenen tatsächlichen Feststellungen der kantonalen Behörde abgestellt wird.</w:t>
      </w:r>
    </w:p>
    <w:p>
      <w:r>
        <w:rPr>
          <w:b/>
        </w:rPr>
        <w:t>E. 2</w:t>
      </w:r>
    </w:p>
    <w:p>
      <w:r>
        <w:t>Auf Grund der Tatsachen, welche die Vorinstanz festgestellt hat, kann dem Berufungskläger der Vorwurf nicht erspart werden, in den letzten Jahren einen Aufwand getrieben zu haben, der zu seinen flüssigen Mitteln in einem Missverhältnis stand und zumal in einer ländlichen Gegend als weit übersetzt anmuten konnte (Auslagen für Kleider in der Zeit von 1956 bis 1960 nahezu Franken 20'000.--; Kauf von sechs zum Teil teuren Automobilen - jeweilen zum Ersatz des bisher benützten Wagens - in der Zeit von 1952 bis 1960). Auch erscheinen einige der Investitionen, die er in seinem Landwirtschaftsbetrieb vornahm, beim festgestellten Sachverhalt als ungeschickt. Eine Beiratschaft kann jedoch nur angeordnet werden, wenn sie sich heute noch als im Sinne von Art. 395 ZGB notwendig erweist. Diese Notwendigkeit lässt sich nicht schon damit begründen, dass ein wenig haushälterisches und nicht immer zweckmässiges Wirtschaften einen Vermögensrückgang befürchten lässt. Das Institut der Beiratschaft ist nicht dazu bestimmt, den künftigen Erben das anwartschaftliche Vermögen zu erhalten. Eine Beschränkung der Handlungsfähigkeit im Sinne von Art. 395 ZGB erscheint vielmehr nur dann als notwendig, wenn mit grosser Wahrscheinlichkeit anzunehmen ist, dass die in Frage stehende Person durch die selbständige Durchführung von Geschäften im Sinne von Art. 395 Abs. 1 oder durch die Art ihrer Vermögensverwaltung ihre wirtschaftliche BGE 88 II 247 S. 250 Existenz sowie diejenige der Angehörigen, für die sie aufzukommen hat, ernstlich gefährde (vgl. BGE 78 II 336 f.). Bei Prüfung der Frage, ob dies der Fall sei, muss die Vermögenslage berücksichtigt werden, wie sie sich im Zeitpunkt der Entscheidung darbietet. Hieran ist der Aufwand zu messen. Der Berufungskläger war nun zur Zeit der Ausfällung des angefochtenen Entscheides mindestens potentiell ein sehr reicher Mann. Bei einem Vermögen von zwei bis drei Millionen Franken können Aufwendungen, wie sie ihm vorgeworfen werden, die wirtschaftliche Existenz nicht gefährden, auch wenn sie das landesübliche Mass übersteigen. Der Reichtum des Berufungsklägers liegt freilich in Liegenschaften, deren Verwertung zum heutigen Verkehrswert im Hinblick auf das gesetzliche Vorkaufsrecht der Ehefrau und der Kinder möglicherweise einigen Schwierigkeiten begegnen wird. Angesichts der gewaltigen Spanne zwischen Verkehrswert und Schätzungswert nach LEG, die sich aus dem Interesse an einer Überbauung erklärt, ist jedoch anzunehmen, dass die Verwertung sei es des ganzen Heimwesens, sei es einzelner Parzellen in absehbarer Zeit dennoch gelingen wird. Den Vorkaufsberechtigten ist letztlich so wenig wie dem Berufungskläger daran gelegen, dem Hof den Charakter eines landwirtschaftlichen Gewerbes zu erhalten. Sobald sie einsehen müssen, dass die Sicherung ihrer Erbanwartschaften kein genügender Grund zu vormundschaftlichen Massnahmen sein kann, wird der Weg zu einer vernünftigen Verständigung frei sein. Dann werden auch die Mittel zu einer angemessenen Abfindung oder Sicherstellung der Brüder, für die der Berufungskläger nach Massgabe des väterlichen Testaments und des Prozessvergleichs zu sorgen hat, verfügbar werden. Dass der Berufungskläger weiterhin übertriebene Aufwendungen für seinen Betrieb machen oder mangels genügender Sorge dafür Schaden erleiden werde, ist kaum BGE 88 II 247 S. 251 zu befürchten, nachdem er aus gesundheitlichen Gründen die Bewirtschaftung seines Heimwesens zur Hauptsache aufgegeben und sein Land verpachtet hat. Ihm allgemein die Fähigkeit abzusprechen, sein Vermögen zu verwalten, geht bei der gegebenen Sachlage nicht an. Auch wenn ihm die Konjunktur zu Hilfe gekommen ist, scheint er bei der Veräusserung und Wiederbeschaffung von Land, nach dem Ergebnis zu schliessen, im ganzen doch eher eine glückliche Hand gehabt zu haben. Von Unerfahrenheit in geschäftlichen Dingen kann bei ihm angesichts seiner Laufbahn nicht die Rede sein. Seine übertriebene Ausgabenfreudigkeit äusserte sich auf einem verhältnismässig beschränkten Gebiet. Im öffentlichen Leben, wo er offenbar einen Ausgleich dafür suchte, dass er das väterliche Heimwesen erst in vorgerückten Jahren übernehmen konnte, hätte er sich im übrigen als ein Mann von einfacher bäuerlicher Herkunft ohne besonders hervorstechende Gaben kaum behaupten können, wenn er nicht über gesunden Menschenverstand und eine gewisse Willenskraft verfügen würde. Darum darf auch angenommen werden, dass er aus dem vorliegenden Verfahren für sein künftiges Verhalten eine nützliche Lehre ziehen werde. Nach alledem ist die Anordnung einer Verwaltungsbeiratschaft nicht notwendig und daher nicht gerechtfertigt. - Sollte der Berufungskläger, wie in der Eingabe vom 5. August 1960 behauptet worden ist, seiner Ehefrau das Haushaltungsgeld nur frankenweise geben, während er seine persönlichen Bedürfnisse reichlich befriedigt, so könnte sich die Ehefrau an den Eheschutzrichter wenden ( Art. 169 ff. ZGB ). Wenn er für ihren Unterhalt nicht pflichtgemäss sorgen würde, könnte sie überdies nach Art. 183 Ziff. 1 ZGB die Gütertrennung verlangen.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