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191</w:t>
      </w:r>
    </w:p>
    <w:p>
      <w:r>
        <w:t>Bundesgericht (BGE), 1962-01-01, FR</w:t>
      </w:r>
    </w:p>
    <w:p>
      <w:r>
        <w:rPr>
          <w:b/>
        </w:rPr>
        <w:t xml:space="preserve">Quelle: </w:t>
      </w:r>
      <w:r>
        <w:t>https://mcp.opencaselaw.ch/entscheid/bge_BGE_88_II_191</w:t>
      </w:r>
    </w:p>
    <w:p>
      <w:r>
        <w:t>FR: ATF 88 II 191</w:t>
      </w:r>
    </w:p>
    <w:p>
      <w:r>
        <w:t>IT: DTF 88 II 191</w:t>
      </w:r>
    </w:p>
    <w:p>
      <w:pPr>
        <w:pStyle w:val="Heading2"/>
      </w:pPr>
      <w:r>
        <w:t>Regeste</w:t>
      </w:r>
    </w:p>
    <w:p>
      <w:r>
        <w:t>Regeste Darlehen; Stellvertretung. 1. Die direkte Stellvertretung setzt die Vertretungsmacht und den Willen des Vertreters voraus, als solcher zu handeln (Erw. 3 u. 4). 2. Anwendbares Recht in Bezug auf diese beiden Voraussetzungen der Stellvertretung, auf das Rechtsverhältnis zwischen Vertreter und Vertretenem und auf den Darlehensvertrag (Erw. 2).</w:t>
      </w:r>
    </w:p>
    <w:p>
      <w:r>
        <w:t>Regeste Prêt; représentation. 1. La représentation directe suppose le pouvoir de représenter et la volonté du représentant d'agir comme tel (consid. 3 et 4). 2. Droit applicable à ces deux conditions de la représentation, au rapport juridique existant entre le représentant et le représenté et au contrat de prêt (consid. 2).</w:t>
      </w:r>
    </w:p>
    <w:p>
      <w:r>
        <w:t>Regesto Mutuo: rappresentanza. 1. La rappresentanza diretta presuppone il potere di rappresentare e la volontà del rappresentante di agire come tale (consid. 3 e 4). 2. Diritto applicabile a queste due condizioni della rappresentanza, al rapporto giuridico intercorrente tra il rappresentante e il rappresentato e al contratto di mutuo (consid. 2).</w:t>
      </w:r>
    </w:p>
    <w:p>
      <w:pPr>
        <w:pStyle w:val="Heading2"/>
      </w:pPr>
      <w:r>
        <w:t>Erwägungen</w:t>
      </w:r>
    </w:p>
    <w:p>
      <w:r>
        <w:rPr>
          <w:b/>
        </w:rPr>
        <w:t>E. 1</w:t>
      </w:r>
    </w:p>
    <w:p>
      <w:r>
        <w:t>La Cour doit d'abord rechercher si la Société a prêté en qualité de représentant de Talleyrand. Dans la négative, il est superflu de se demander en outre si le recourant est l'ayant cause du duc et si le prêt était en réalité une donation, comme le prétend l'intimée.</w:t>
      </w:r>
    </w:p>
    <w:p>
      <w:r>
        <w:rPr>
          <w:b/>
        </w:rPr>
        <w:t>E. 2</w:t>
      </w:r>
    </w:p>
    <w:p>
      <w:r>
        <w:t>a) Le droit suisse s'applique au contrat de prêt (Hauptvertrag). Ce dernier contient une clause de prorogation de for en faveur de la juridiction genevoise qui crée une présomption de la volonté des contractants de soumettre leurs différends éventuels au droit suisse (SCHÖNENBERGER/JÄGGI, Allgemeine Einleitung, no 203). Cette présomption est confirmée par divers indices. Le prêteur a élu domicile à Genève pour l'exécution du contrat; c'est dans cette ville que les fonds ont été remis et que le prêt devait être remboursé. BGE 88 II 191 S. 193 Il ne s'ensuit pas nécessairement que le droit suisse s'applique aussi à l'essentiel du présent litige, savoir si le prêt a obligé Talleyrand en vertu d'une représentation directe. Sans doute la jurisprudence actuelle, rompant avec le système dit de la coupure générale, admet que les conditions de la perfection du contrat et ses effets sont régis par une seule et même loi (RO 78 II 86; 79 II 297 ; 82 II 552 ; 85 II 452 ). Il est toutefois des exceptions, par exemple la capacité civile et la forme des actes juridiques. Le premier arrêt cité réserve d'autres cas encore, au nombre desquels il faut compter la représentation. Le pouvoir de représentation se fonde sur la loi (puissance paternelle), sur une décision judiciaire ou administrative (tutelle) ou sur la volonté des parties (mandat, contrat de travail, de société, d'agence). Les relations ainsi créées ont en droit international privé leur statut propre. Que le contrat principal (ici le contrat de prêt) contienne une élection de droit ne change rien au rapport entre le représentant et le représenté (RO 40 II 493; SCHÖNENBERGER/JÄGGI, ibidem nos 154 et 225 in fine; PATRY, A propos de la représentation en droit international privé, Semaine judiciaire, 1954, p. 377). En l'espèce, les obligations respectives de la Société et de Talleyrand ne sont pas en cause, mais bien celles de l'intimée à l'égard de l'auteur du recourant. b) La représentation directe suppose le pouvoir de représenter et la volonté du représentant d'agir comme tel. Le premier élément est régi par le droit du domicile du représenté (RO 46 II 494, 76 I 349; SCHÖNENBERGER/JÄGGI, ibidem, nos 156 sv.), en l'espèce le droit français. Il y a controverse sur le droit applicable aux effets (Tragweite, Umfang) des pouvoirs, soit à la mesure dans laquelle le représenté acquiert des droits et s'oblige en raison d'un acte du représentant (SCHÖNENBERGER/JÄGGI, ibidem, nos 159 sv.). Selon la jurisprudence, la question est régie par la loi du lieu où les pouvoirs produisent leurs effets (RO 42 II 650; 46 II 494 et, de façon expresse, BGE 88 II 191 S. 194 49 II 73). En l'espèce, c'est à Genève que le contrat de prêt a été passé et que les prétendus pouvoirs auraient été exercés. En conclusion, le droit suisse s'applique aux effets de la représentation et le droit français à l'existence du pouvoir de représenter. De par l'art. 65 OJ, la Cour de céans appliquera elle-même le droit étranger.</w:t>
      </w:r>
    </w:p>
    <w:p>
      <w:r>
        <w:rPr>
          <w:b/>
        </w:rPr>
        <w:t>E. 3</w:t>
      </w:r>
    </w:p>
    <w:p>
      <w:r>
        <w:t>La collation d'un pouvoir de représentation est essentielle en droit français comme en droit suisse (RIPERT-BOULANGER, Traité de droit civil, Paris 1957, II p. 94). D'après l'arrêt attaqué, il est exact que Talleyrand est à l'origine du prêt; mais il résulte des propres déclarations du demandeur et recourant que Talleyrand a tenu à ce que les fonds prêtés ne provinssent pas directement de son propre patrimoine. Il s'ensuit que la Société n'a pu agir que comme représentant indirect. Faute de cession, son mandant n'a acquis aucun droit contre l'intimée.</w:t>
      </w:r>
    </w:p>
    <w:p>
      <w:r>
        <w:rPr>
          <w:b/>
        </w:rPr>
        <w:t>E. 4</w:t>
      </w:r>
    </w:p>
    <w:p>
      <w:r>
        <w:t>La procuration ne confère que le pouvoir de représenter. Même si la Société avait eu cette faculté en l'espèce, encore eût-il fallu qu'elle en fît usage, qu'elle eût voulu diriger les effets du contrat de prêt sur le représenté, qu'elle eût agi non seulement pour le compte de Talleyrand, mais encore en son nom. D'après l'arrêt attaqué, l'intention des parties était que les fonds ne provinssent pas du patrimoine de Talleyrand. Ce fait exclut toute volonté du représentant d'engager le représenté. Certes, selon le droit suisse applicable sur ce point, l'intention n'a pas besoin d'être manifeste. De par l'art. 32 al. 2 CO, il suffit que le cocontractant ait dû inférer des circonstances qu'il existait un rapport de représentation ou qu'il lui ait été indifférent de traiter avec le représentant ou le représenté. Mais cette dérogation au principe de la publicité généralement admis (notamment en droit allemand et en droit français: ENNECCERUS-NIPPERDEY, 15e éd. 2/I p. 1091: STAUDINGER-COING 11e éd., ad § 164, no 5; RIPERT-BOULANGER, ibidem p. 92) ne vise que la manifestation BGE 88 II 191 S. 195 de la volonté de traiter comme représentant et ne tend qu'à assurer la preuve nécessaire à la sécurité des transactions (SCHLOSSMANN, Die Lehre der Stellvertretung, Leipzig 1900-1902, II p. 97 et passim). En conséquence, n'ayant pas eu l'intention d'agir au nom de Talleyrand, la Société s'est obligée elle-même et exerce seule les droits issus du contrat de prêt. Il n'est pas nécessaire de rechercher d'office si l'art. 401 CO est applicable. Le demandeur, en effet, n'a pas allégué ni tenté d'établir que les conditions de cette disposition seraient réalisées en l'espèce. Il n'a pas dit notamment, ni prouvé, que son auteur aurait rempli ses obligations à l'égard de la Société. Quant au fait qu'il possède une quittance et un exemplaire du contrat, le juge du fait a souverainement apprécié ces indices (art. 63 al. 2 OJ) et leur a dénié une valeur probante.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