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172</w:t>
      </w:r>
    </w:p>
    <w:p>
      <w:r>
        <w:t>Bundesgericht (BGE), 1962-01-01, FR</w:t>
      </w:r>
    </w:p>
    <w:p>
      <w:r>
        <w:rPr>
          <w:b/>
        </w:rPr>
        <w:t xml:space="preserve">Quelle: </w:t>
      </w:r>
      <w:r>
        <w:t>https://mcp.opencaselaw.ch/entscheid/bge_BGE_88_II_172</w:t>
      </w:r>
    </w:p>
    <w:p>
      <w:r>
        <w:t>FR: ATF 88 II 172</w:t>
      </w:r>
    </w:p>
    <w:p>
      <w:r>
        <w:t>IT: DTF 88 II 172</w:t>
      </w:r>
    </w:p>
    <w:p>
      <w:pPr>
        <w:pStyle w:val="Heading2"/>
      </w:pPr>
      <w:r>
        <w:t>Regeste</w:t>
      </w:r>
    </w:p>
    <w:p>
      <w:r>
        <w:t>Regeste Aktionärbindungsvertrag. 1. Gültigkeit in den Schranken des Art. 19 OR einer mit einer Sperrevereinbarung verbundenen Abstimmungsvereinbarung (Erw. 1). 2. Rechtswidrigkeit und Unsittlichkeit (Art. 27 Abs. 2 ZGB) der vorliegenden Vereinbarung verneint (Erw. 2).</w:t>
      </w:r>
    </w:p>
    <w:p>
      <w:r>
        <w:t>Regeste Accord sur l'exercice des droits de l'actionnaire. 1. Validité d'une convention de vote combinée avec une convention de blocage, dans les limites fixées à l'art. 19 CO (consid. 1). 2. La convention visée en l'espèce est-elle contraire aux lois ou aux moeurs (art. 27 al. 2 CC)? Réponse négative (consid. 2).</w:t>
      </w:r>
    </w:p>
    <w:p>
      <w:r>
        <w:t>Regesto Accordo sull'esercizio dei diritti dell'azionista. 1. Validità di una convenzione di voto combinata con una convenzione di bloccaggio, nei limiti stabiliti all'art. 19 CO (consid. 1). 2. Nella fattispecie, è incompatibile la convenzione con il diritto o la morale (art. 27 cpv. 2 CC)? Risposta negativa (consid. 2).</w:t>
      </w:r>
    </w:p>
    <w:p>
      <w:pPr>
        <w:pStyle w:val="Heading2"/>
      </w:pPr>
      <w:r>
        <w:t>Erwägungen</w:t>
      </w:r>
    </w:p>
    <w:p>
      <w:r>
        <w:rPr>
          <w:b/>
        </w:rPr>
        <w:t>E. 1</w:t>
      </w:r>
    </w:p>
    <w:p>
      <w:r>
        <w:t>La convention litigieuse est un accord sur l'exercice des droits de l'actionnaire et plus précisément une convention de vote combinée avec une convention de blocage. De tels accords sont valables dans les limites fixées par l'art. 19 CO (PATRY, Les accords sur l'exercice des droits de l'actionnaire, RDS 1959, II, p. 63 a et 137 a ch. 4; GLATTFELDER, Die Aktionärbindungs-Verträge, RDS 1959, II, p. 243 a ss.). En l'absence d'un acte contraire à la loi ou aux statuts, tout actionnaire est en effet libre de voter suivant les désirs d'un tiers (RO 81 II 542, consid. 4 in fine). Le recourant ne conteste pas, avec raison, que les accords sur l'exercice des droits de l'actionnaire soient valables en principe. Il soutient, en revanche, que la convention conclue en l'espèce est nulle, parce que son objet serait illicite et contraire aux moeurs (art. 20 CO).</w:t>
      </w:r>
    </w:p>
    <w:p>
      <w:r>
        <w:rPr>
          <w:b/>
        </w:rPr>
        <w:t>E. 2</w:t>
      </w:r>
    </w:p>
    <w:p>
      <w:r>
        <w:t>a) Le recourant invoque plus précisément l'art. 27 al. 2 CC, aux termes duquel "nul ne peut aliéner sa liberté, ni s'en interdire l'usage dans une mesure contraire aux lois ou aux moeurs". Selon la jurisprudence, les engagements de nature pécuniaire ne sont contraires aux moeurs que s'ils mettent en péril l'existence économique du débiteur (RO 40 II 240, 51 II 167 s., 84 II 23, 277, 635). En s'obligeant à voter selon les décisions du groupe et à déposer ses actions en main tierce, pendant une durée de six ans, le recourant ne s'est pas exposé à un tel risque. BGE 88 II 172 S. 175 Administrateur de la société, il était d'ailleurs à même de mesurer exactement la portée de ses engagements. En fait, le recourant n'a jamais été lésé par une décision du groupe. C'est grâce à celui-ci, au contraire, qu'il a présidé le conseil d'administration de la société. Aussi son argumentation repose-t-elle uniquement sur des hypothèses. A ses dires, le groupe aurait pu, par exemple, décider de faire révoquer par l'assemblée générale son mandat d'administrateur. Pareille décision serait toutefois contraire aux règles de la bonne foi. Le recourant n'eût dès lors pas été tenu d'émettre un vote dans ce sens. Il eût été fondé à opposer le moyen pris de l'abus de droit (art. 2 CC), si les autres membres du groupe lui avaient réclamé le paiement de la peine conventionnelle. b) Selon le recourant, la convention serait contraire aux moeurs parce qu'elle annulerait la puissance de vote attachée à ses actions. Certes, il aurait pu se voir obligé par une décision du groupe de voter à l'assemblée générale, avec ses 192 actions, dans le sens désiré par les intimés, qui n'ont ensemble que 66 actions. A l'intérieur du groupe, chaque membre dispose en effet d'une voix, quel que soit le nombre de ses actions. Une règle semblable serait exclue pour le droit de vote à l'assemblée générale de la société anonyme (cf. art. 692 et 693 CO). Mais le groupe est une société simple (art. 530 ss. CO). Or, selon l'art. 534 al 2 CO, lorsque le contrat remet les décisions de la société à la majorité, celle-ci se compte par tête. Peu importe que les apports des membres soient inégaux (cf. art. 531 al. 2 CO), comme en l'espèce. c) Le recourant soutient encore que la convention viole l'art. 693 CO, en créant par un moyen détourné des actions à droit de vote privilégié. S'il est vrai qu'à l'intérieur du groupe, le droit de vote n'est pas proportionnel au nombre des actions détenues par chaque membre, le droit de vote à l'assemblée générale attaché à chaque action n'est pas diminué ni augmenté pour autant. L'accord restreint seulement la liberté des parties dans BGE 88 II 172 S. 176 l'exercice de leurs droits d'actionnaires. Pareille limitation est licite, comme on l'a vu. d) Il ne résulte pas des faits constatés par la juridiction cantonale que la convention soit contraire aux statuts de la société. Le recourant ne le prétend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