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131</w:t>
      </w:r>
    </w:p>
    <w:p>
      <w:r>
        <w:t>Bundesgericht (BGE), 1962-01-01, DE</w:t>
      </w:r>
    </w:p>
    <w:p>
      <w:r>
        <w:rPr>
          <w:b/>
        </w:rPr>
        <w:t xml:space="preserve">Quelle: </w:t>
      </w:r>
      <w:r>
        <w:t>https://mcp.opencaselaw.ch/entscheid/bge_BGE_88_II_131</w:t>
      </w:r>
    </w:p>
    <w:p>
      <w:r>
        <w:t>FR: ATF 88 II 131</w:t>
      </w:r>
    </w:p>
    <w:p>
      <w:r>
        <w:t>IT: DTF 88 II 131</w:t>
      </w:r>
    </w:p>
    <w:p>
      <w:pPr>
        <w:pStyle w:val="Heading2"/>
      </w:pPr>
      <w:r>
        <w:t>Regeste</w:t>
      </w:r>
    </w:p>
    <w:p>
      <w:r>
        <w:t>Regeste 1. Art. 44 Abs. 1, 55OR. Gründe und Mass der Herabsetzung der Ersatzpflicht des Halters einer Strassenwalze, die von seinem Arbeiter geführt und von einem Motorwagen gerammt wurde. 2. Art. 19 Abs. 1,25Abs. 1 MFG,Art. 38Abs. 1 lit. e, 39 Abs. 1 MFV. Welche Pflichten auferlegt die in einem Tunnel herrschende Dunkelheit den Führern eines Motorwagens bzw. einer Strassenwalze?</w:t>
      </w:r>
    </w:p>
    <w:p>
      <w:r>
        <w:t>Regeste 1. Art. 44 al. 1, 55 CO. Motifs et mesure de la réduction de l'indemnité due par le détenteur d'un rouleau compresseur conduit par son employé et happé par un véhicule à moteur. 2. Art. 19 al.2, 25al. 1 LA; Art. 38 al. 1 litt. e, 39 al. 1 RA. Devoirs du conducteur d'un véhicule à moteur, resp. d'un rouleau compresseur, en raison de l'obscurité d'un tunnel.</w:t>
      </w:r>
    </w:p>
    <w:p>
      <w:r>
        <w:t>Regesto 1. Art.44 cpv. 1, 55 CO. Motivi e misura della riduzione del risarcimento dovuto dal detentore, il cui rullo compressore, guidato da un operaio, è stato investito da un autoveicolo. 2. Art. 19 cpv. 1,25cpv. 1 LA; art. 38 cpv. 1 lett. e, 39 cpv. 1 RLA. Doveri del conducente di un autoveicolo rispett. di un rullo compressore, a motivo dell'oscurità di una galleria.</w:t>
      </w:r>
    </w:p>
    <w:p>
      <w:pPr>
        <w:pStyle w:val="Heading2"/>
      </w:pPr>
      <w:r>
        <w:t>Erwägungen</w:t>
      </w:r>
    </w:p>
    <w:p>
      <w:r>
        <w:rPr>
          <w:b/>
        </w:rPr>
        <w:t>E. 1</w:t>
      </w:r>
    </w:p>
    <w:p>
      <w:r>
        <w:t>Der Beklagte schuldet den Klägern unbestrittenermassen aus Art. 55 OR Schadenersatz, weil sein Arbeiter die Strassenwalze in Ausübung einer dienstlichen Verrichtung führte. Der Richter kann gemäss Art. 44 Abs. 1 OR die Ersatzpflicht ermässigen oder gänzlich von ihr entbinden, wenn Umstände, für welche die Kläger einstehen müssen, auf die Entstehung oder Verschlimmerung des Schadens eingewirkt haben. Ein solcher Umstand liegt darin, dass Hoppen nur die Markierlichter einschaltete, obschon er nach seinen Angaben mit 30 km/Std. fuhr und eine Strecke von etwa 35 m in der Mitte des Tunnels vollständig im Dunkeln lag. Es war ausgeschlossen, bei dieser Geschwindigkeit ein Hindernis im Schimmer der. Markierlichter so rechtzeitig zu erblicken, dass der Wagen hätte angehalten werden können, ehe er es erreichte. Hoppen bemerkte denn auch die Strassenwalze erst, als sein Fahrzeug auf sie aufprallte. Er verletzte den elementaren Grundsatz, wonach der Führer eines Motorfahrzeuges nicht schneller fahren darf, als dass er Gefahren, mit denen er rechnen muss, durch Anhalten innerhalb der zuverlässig überblickbaren Strecke bannen kann ( BGE 57 II 314 , BGE 60 II 284 , BGE 65 I 199 , BGE 76 IV 56 , BGE 77 IV 102 , BGE 79 IV 66 , BGE 82 IV 108 , BGE 84 II 129 ). Dieses Verbot gilt nicht nur bei Nacht, sondern auch, wenn andere Verhältnisse BGE 88 II 131 S. 134 die Sicht beeinträchtigen. Die Umstände des vorliegenden Falles rechtfertigen keine Ausnahme. Obschon der grosse Axentunnel nur von Motorfahrzeugen befahren werden darf und Soppe ihn mit der Walze unrechtmässig benutzte, musste Hoppen doch damit rechnen, dass er sich einem unbeleuchteten Hindernis nähern könnte, z.B. einem wegen einer Panne stehengebliebenen Motorwagen, vom Gewölbe herabgefallenen Steinen, einem verirrten Wild. Um solchen Gefahren zu entgehen, genügte es nicht, dass er rechts der Sicherheitslinie fuhr. Hätte er das bedacht und die Strassenlichter eingeschaltet oder die Geschwindigkeit genügend herabgesetzt, so wäre sein Fahrzeug mit der Walze nicht zusammengestossen. Sein pflichtwidriges Verhalten ist eine rechtserhebliche Mitursache des Unfalles. Auch in der Betriebsgefahr, die einem Motorfahrzeug innewohnt, kann ein Umstand im Sinne des Art. 44 Abs. 1 OR liegen, der eine Ermässigung der Schadenersatzansprüche seines Führers oder Eigentümers rechtfertigt. Dieser Auffassung war das Bundesgericht schon in BGE 85 II 520 , doch sah es damals von einer Kürzung des Ersatzanspruches ab, weil die Betriebsgefahr des Motorwagens sich ohne das grob unvorsichtige Verhalten des Ersatzpflichtigen überhaupt nicht ausgewirkt hätte. Den Klägern ist nicht beizupflichten, wenn sie unter Berufung auf dieses Urteil über die Betriebsgefahr des Motorwagens auch im vorliegenden Falle hinwegsehen wollen. Der Zusammenstoss ist nicht nur auf das widerrechtliche Verhalten Soppes zurückzuführen, sondern auch auf das pflichtwidrige Verhalten Hoppens. Da dieser für den Zusammenstoss mitverantwortlich ist, muss auch der Betriebsgefahr des von ihm geführten Motorwagens zu Lasten der Kläger Rechnung getragen werden. Ohne die Wucht, mit welcher der Wagen wegen des Mitverschuldens Hoppens auf die Strassenwalze prallte, wäre der Schaden geringer.</w:t>
      </w:r>
    </w:p>
    <w:p>
      <w:r>
        <w:rPr>
          <w:b/>
        </w:rPr>
        <w:t>E. 2</w:t>
      </w:r>
    </w:p>
    <w:p>
      <w:r>
        <w:t>Wie stark sich die von den Klägern zu vertretenden BGE 88 II 131 S. 135 Herabsetzungsgründe auf die Ersatzpflicht auswirken, hängt auch von Umständen ab, die dem Beklagten zum Vorwurf gereichen. Gemäss Art. 55 OR haftet der Beklagte als Geschäftsherr zwar unabhängig davon, ob ihn ein Verschulden trifft; nur der in dieser Bestimmung umschriebene Entlastungsbeweis befreit ihn ( BGE 45 II 85 , 647, BGE 49 II 94 , BGE 56 II 287 , BGE 72 II 261 ). Seine Haftung setzt nicht einmal ein Verschulden des Angestellten oder Arbeiters voraus; es genügt, wenn dieser sich objektiv widerrechtlich verhalten hat ( BGE 50 II 494 ; BGE 56 II 287 , BGE 57 II 45 ). Wenn jedoch die Ersatzpflicht wegen Umständen, für die der Geschädigte einstehen muss, zu ermässigen ist, verlangt die Billigkeit, dass auch das Verhalten des Geschäftsherrn und seines Angestellten oder Arbeiters unter dem Gesichtspunkt des Verschuldens gewürdigt werde. Die Umstände nach Art. 44 Abs. 1 OR haben mehr Gewicht, wenn den Belangten und seinen Untergebenen keinerlei Verschulden trifft, als wenn dem einen oder andern ein Vorwurf zu machen ist ( BGE 41 II 500 ). Dem Bauamt Uri als Organ des Beklagten ist vorzuwerfen, dass es Soppe nicht anwies, den grossen Axentunnel zu umfahren. Es durfte nicht voraussetzen, dass er das aus eigenem Antrieb tun werde. Es konnte sich auch in vollem Umfange Rechenschaft geben, welcher Gefahr die Strassenwalze die Benützer von Motorfahrzeugen im Tunnel aussetzen würde. Es wusste oder musste wissen, dass sie nicht mit Lichtern versehen war, wie Arbeitsmaschinen sie gemäss Art. 38 Abs. 1 lit. e MFV nach Eintritt der Dämmerung und folglich auch in einem ungenügend erhellten Tunnel führen müssen. Auch sprach nichts dafür, dass Soppe unaufgefordert für Beleuchtung sorgen werde, falls er den Tunnel benütze. Dass das Bauamt dem Arbeiter nicht pflichtgemäss Weisungen erteilte, ist um so weniger zu entschuldigen, als der Motorfahrzeugverkehr auf der Axenstrasse im Sommer sehr rege ist. Das Verschulden des Beklagten ist nicht so gering und jenes des Hoppen sowie die Betriebsgefahr des Motorwagens BGE 88 II 131 S. 136 wiegen nicht so schwer, dass es sich rechtfertigen würde, die Ersatzpflicht des Beklagten um mehr als die Hälfte herabzusetzen. Anderseits besteht auch kein Anlass, den Beklagten zu verhalten, den Klägern mehr als die Hälfte ihres Schadens zu ersetzen. Das Verschulden Hoppens war nicht leicht. Er hätte ohne weiteres erkennen können, wie gefährlich es sei, mit einem bloss Markierlichter führenden Motorwagen mit 30 km/Std. in vollständiger Dunkelheit zu fahren. Die Strassenlichter hätten ohne besondere Mühe eingeschaltet werden können.</w:t>
      </w:r>
    </w:p>
    <w:p>
      <w:r>
        <w:rPr>
          <w:b/>
        </w:rPr>
        <w:t>E. 3</w:t>
      </w:r>
    </w:p>
    <w:p>
      <w:r>
        <w:t>Die vorinstanzliche Berechnung des Schadens wird von keiner Partei angefochten. Das Bundesgericht hat sie daher als richtig hinzunehmen.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