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55</w:t>
      </w:r>
    </w:p>
    <w:p>
      <w:r>
        <w:t>Bundesgericht (BGE), 1962-05-07, DE</w:t>
      </w:r>
    </w:p>
    <w:p>
      <w:r>
        <w:rPr>
          <w:b/>
        </w:rPr>
        <w:t xml:space="preserve">Quelle: </w:t>
      </w:r>
      <w:r>
        <w:t>https://mcp.opencaselaw.ch/entscheid/bge_BGE_88_III_55</w:t>
      </w:r>
    </w:p>
    <w:p>
      <w:r>
        <w:t>FR: ATF 88 III 55</w:t>
      </w:r>
    </w:p>
    <w:p>
      <w:r>
        <w:t>IT: DTF 88 III 55</w:t>
      </w:r>
    </w:p>
    <w:p>
      <w:pPr>
        <w:pStyle w:val="Heading2"/>
      </w:pPr>
      <w:r>
        <w:t>Regeste</w:t>
      </w:r>
    </w:p>
    <w:p>
      <w:r>
        <w:t>Regeste Widerspruchsverfahren (Art. 106 ff. SchKG) im Falle, dass ein Dritter behauptet, der Schuldner habe ihm den gepfändeten Erbanteil abgetreten. Parteirollenverteilung. Massgebendes Kriterium. Prüfungsbefugnis der Betreibungsbehörden.</w:t>
      </w:r>
    </w:p>
    <w:p>
      <w:r>
        <w:t>Regeste Procédure d'opposition (art. 106 ss. LP) dans le cas où un tiers prétend que le débiteur lui a cédé ses droits à une succession. Selon quel critère la qualité des parties dans la procédure doitelle être déterminée? Pouvoir d'appréciation des autorités de poursuite.</w:t>
      </w:r>
    </w:p>
    <w:p>
      <w:r>
        <w:t>Regesto Procedura d'opposizione (art. 106 sgg. LEF) nel caso in cui un terzo pretende che il debitore gli ha ceduto i suoi diritti a una successione. Criterio per la determinazione delle parti nella procedura. Potere d'apprezzamento delle autorità di esecuzione.</w:t>
      </w:r>
    </w:p>
    <w:p>
      <w:pPr>
        <w:pStyle w:val="Heading2"/>
      </w:pPr>
      <w:r>
        <w:t>Erwägungen</w:t>
      </w:r>
    </w:p>
    <w:p>
      <w:r>
        <w:rPr>
          <w:b/>
        </w:rPr>
        <w:t>E. 1</w:t>
      </w:r>
    </w:p>
    <w:p>
      <w:r>
        <w:t>NachBGE 67 III 51ist der Streit, ob ein gepfändeter Erbanteil dem Schuldner oder einem Dritten zustehe, im Widerspruchsverfahren auszutragen. Ob in diesem Verfahren die Klagefrist dem Drittansprecher oder dem Gläubiger anzusetzen sei, entscheidet BGE 88 III 55 S. 57 sich im Falle, dass (nicht in einem Wertpapier verkörperte) Forderungen oder andere Rechte Gegenstand der Drittansprache sind, gemäss ständiger Rechtsprechung darnach, ob die Berechtigung des Schuldners oder diejenige des Drittansprechers die grössere Wahrscheinlichkeit für sich habe ( BGE 67 III 52 , BGE 71 III 107 , BGE 75 III 10 , BGE 79 III 163 ). Bei Anwendung dieses Kriteriums haben sich die Betreibungsbehörden, wie die Vorinstanz in Erwägung 6 ihres Entscheides zutreffend ausgeführt hat, nicht in eine nähere Untersuchung der materiellen Rechtslage einzulassen, wie die Vorinstanz es in den Erwägungen 3 - 5 selber getan hat. Vielmehr haben sie auf Grund einer summarischen Prüfung der Akten zu entscheiden. Im vorliegenden Falle muss für sie massgebend sein, dass die Drittansprecherin eine zu ihren Gunsten ausgestellte schriftliche Abtretung vorzulegen vermag, die sich im Gegensatz zu derjenigen, auf die sich der Dritte im FalleBGE 67 III 49ff. berufen hatte, nicht schon auf den ersten Blick als ungültig erweist. Welche Tragweite der in die Abtretungsurkunde aufgenommene Vorbehalt etwaiger Rechte betreibender Gläubiger habe, ist umstritten und nicht ohne weiteres liquid. Die RST macht u.a. geltend und anerbietet den Beweis dafür, dass dieser Vorbehalt nicht für solche Gläubiger gelte, deren Forderungen erst nach der Abtretung entstanden sind. Über solche Fragen zu befinden, muss dem Richter vorbehalten bleiben. Die Klägerrolle ist daher ohne Rücksicht auf den erwähnten Vorbehalt den Gläubigern zuzuweisen. Ob die Abtretung den Miterben der Schuldnerin oder dem Erbschaftsverwalter mitgeteilt worden sei, wie das Betreibungsamt dies annimmt, ist unter dem Gesichtspunkte von Art. 106 ff. SchKG entgegen der Auffassung des Betreibungsamtes unerheblich ( BGE 67 III 53 ; über die Bedeutung einer solchen Anzeige vgl. im übrigen BGE 87 II 225 /226).</w:t>
      </w:r>
    </w:p>
    <w:p>
      <w:r>
        <w:rPr>
          <w:b/>
        </w:rPr>
        <w:t>E. 2</w:t>
      </w:r>
    </w:p>
    <w:p>
      <w:r>
        <w:t>In BGE 87 II 223 ff. hat die II. Zivilabteilung des Bundesgerichts erklärt, die Abtretung eines angefallenen Erbanteils an einen Dritten gewähre diesem nach BGE 88 III 55 S. 58 schweizerischem Recht "nur einen obligatorischen Anspruch gegen den Veräusserer, dahingehend, dass dieser die Gegenstände, die er bei der Teilung erhalten wird, an ihn übertrage" (S. 224); wegen der bloss obligatorischen Wirkung der "Abtretung" eines Erbanteils bleibe "ein Zugriff der Gläubiger des Veräusserers auf dessen Erbanteil bzw. die ihm zugewiesenen Gegenstände möglich, solange diese nicht an den Erwerber übertragen worden sind" (S. 225). Man könnte sich fragen, ob angesichts dieser Feststellungen noch angenommen werden dürfe, der Dritte, der sich darauf beruft, dass der betriebene Schuldner ihm seinen Erbanteil abgetreten habe, mache damit ein die Pfändung ausschliessendes (oder doch bei der Verwertung und Verteilung zu berücksichtigendes) Recht geltend, wie dies die Voraussetzung für die Einleitung eines Widerspruchsverfahrens bildet ( BGE 78 III 10 /11, BGE 80 III 71 /72 mit Hinweisen). Diese Frage von Amtes wegen aufzugreifen und allenfalls in Abweichung vonBGE 67 III 51die Durchführung eines Widerspruchsverfahrens in einem solchen Falle als unzulässig zu erklären, besteht jedoch kein genügender Anlass; dies umso weniger, als streitig zu sein scheint, ob die Erbschaft des Oscar von Grunelius dem schweizerischen Recht unterstehe. Es kann dem Richter überlassen werden, gegebenenfalls zu prüfen, ob die Eigentumsansprache der RST etwa schon mit der Begründung abzuweisen sei, dass die Abtretung ihr nur ein rein obligatorisches Recht gegen die Schuldnerin verleihe.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