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III 135</w:t>
      </w:r>
    </w:p>
    <w:p>
      <w:r>
        <w:t>Bundesgericht (BGE), 1962-01-01, DE</w:t>
      </w:r>
    </w:p>
    <w:p>
      <w:r>
        <w:rPr>
          <w:b/>
        </w:rPr>
        <w:t xml:space="preserve">Quelle: </w:t>
      </w:r>
      <w:r>
        <w:t>https://mcp.opencaselaw.ch/entscheid/bge_BGE_88_III_135</w:t>
      </w:r>
    </w:p>
    <w:p>
      <w:r>
        <w:t>FR: ATF 88 III 135</w:t>
      </w:r>
    </w:p>
    <w:p>
      <w:r>
        <w:t>IT: DTF 88 III 135</w:t>
      </w:r>
    </w:p>
    <w:p>
      <w:pPr>
        <w:pStyle w:val="Heading2"/>
      </w:pPr>
      <w:r>
        <w:t>Regeste</w:t>
      </w:r>
    </w:p>
    <w:p>
      <w:r>
        <w:t>Regeste Wohnsitz des Schuldners - als Ort der Betreibung (Art. 46 Abs. 1 SchKG); - als Ort der Zustellung der Betreibungsurkunden, wofür allenfalls ausserdem der (dem Betreibungsamt gemeldete) Arbeitsort in Betracht fällt (Art. 64 Abs. 1 SchKG). Der Wohnsitz befindet sich dort, wo die Familie, die der Schuldner mehrmals im Monat besucht, verblieben ist, nicht am auswärtigen Arbeitsort (zumal bei blossem Volontariat) und auch nicht dort, wo der Schuldner seine persönlichen Schriften hinterlegt hat (Erw. 1). Unzulässigkeit ergänzender Begehren vor Bundesgericht (Art. 79 Abs. 1 Satz 2 OG) (Erw. 3).</w:t>
      </w:r>
    </w:p>
    <w:p>
      <w:r>
        <w:t>Regeste Domicile du débiteur - comme for de la poursuite (art. 46 al. 1 LP); - comme lieu où sont notifiés les actes de poursuite; ceux-ci peuvent aussi être notifiés, le cas échéant, à l'endroit où le débiteur travaille, s'il l'a annoncé à l'office (art. 64 al. 1 LP). Le domicile se trouve là où demeure la famille du débiteur qui lui rend visite plusieurs fois par mois, et non pas à l'endroit où travaille ce débiteur (encore moins s'il le fait comme volontaire) ni là où il a déposé ses papiers personnels (consid. 1). Interdiction des conclusions nouvelles devant le Tribunal fédéral (art. 79 al. 1, 2e phrase OJ) (consid. 3).</w:t>
      </w:r>
    </w:p>
    <w:p>
      <w:r>
        <w:t>Regesto Domicilio del debitore - come foro dell'esecuzione (art. 46 cpv. 1 LEF); - come luogo in cui sono notificati gli atti esecutivi, per il qualeoccorre tener eventualmente conto anche del luogo di lavoro del debitore, se questi l'ha annunciato all'ufficio di esecuzione (art. 64 cpv. 1 LEF). Il domicilio si trova là dove è rimasta la famiglia, alla quale il debitore rende visita più volte al mese, e non già nel luogo di lavoro del debitore (tanto meno se trattasi di volontariato), nè in quello, in cui questi ha depositato in suoi documenti personali (consid. 1). Inammissibilità di conclusioni nuove davanti al Tribunale federale (art. 79 cpv. 1, 2a frase OG) (consid. 3).</w:t>
      </w:r>
    </w:p>
    <w:p>
      <w:pPr>
        <w:pStyle w:val="Heading2"/>
      </w:pPr>
      <w:r>
        <w:t>Erwägungen</w:t>
      </w:r>
    </w:p>
    <w:p>
      <w:r>
        <w:rPr>
          <w:b/>
        </w:rPr>
        <w:t>E. 1</w:t>
      </w:r>
    </w:p>
    <w:p>
      <w:r>
        <w:t>Ob die Ehefrau des Schuldners es unterliess, ihm den Zahlungsbefehl unverzüglich zu übermitteln, oder ob dieser Betreibungsakt mangels rechtzeitiger Beschwerdeführung rechtskräftig geworden ist, ist nicht abgeklärt und kann dahingestellt bleiben. Wie dem auch sei, hätte der Schuldner die örtliche Zuständigkeit des Betreibungsamtes Basel-Stadt nicht mit Erfolg bestreiten können, und demgemäss ist nun auch die Beschwerde des Gläubigers gegen die nachträgliche Verneinung dieser Zuständigkeit durch das genannte Amt im Gegensatze zum angefochtenen Entscheid der kantonalen Aufsichtsbehörde zu schützen. Der Schuldner hat nach wie vor seine Familie in Basel. Er besucht sie nach seiner eigenen Darstellung in kürzeren Zeitabständen, etwa viermal im Monat. Dass dies mit Reisen nach Deutschland verbunden sein und nicht am Wochenende geschehen soll, ändert nichts daran, dass der Schuldner in Basel Lebensbeziehungen hat, denen gegenüber sein Aufenthalt in Ascona als nebensächlich erscheint. Ebenfalls nach seiner eigenen Darstellung absolviert er "zur Zeit" in Locarno ein Volontariat, was der Natur der Sache nach eine vorübergehende Tätigkeit darstellt. Zukunftspläne bestimmter Art, die ein dauerndes Verweilen in Ascona erforderten, werden nicht genannt. Die Angabe, der Schuldner habe an diesem Ort eine Familienwohnung gesucht, aber noch keine gefunden, ist unerheblich. Einmal vermöchte die Absicht, die Familie in Zukunft am neuen Ort ansässig zu machen, keine bereits erfolgte Wohnsitzverlegung darzutun. Sodann lässt der Schuldner nichts darüber verlauten, was er in dieser Hinsicht unternommen hat. Für die Entscheidung der Frage, ob und wo jemand Wohnsitz habe, sind seine gesamten Lebensverhältnisse zu berücksichtigen. Dabei ist der Mittelpunkt des Lebens BGE 88 III 135 S. 139 auch für den Berufsmann dort zu suchen, wo seine persönlichen Interessen liegen, namentlich am Ort, wo seine Familie weilt, die er, soweit es ihm seine berufliche Tätigkeit erlaubt, immer wieder aufsucht (vgl. EGGER, 2. Auflage, N. 19 und 26 zu Art. 23 ZGB ; TH. HOLENSTEIN, Der privatrechtliche Wohnsitz im schweizerischen Recht, S. 75 ff.; A. LENZI, Die Betreibungsstände nach dem schweizerischen SchKG, S. 15/16). Das gilt um so mehr bei einer Betätigung vorübergehender Art (vgl. BGE 69 I 78 , BGE 78 I 316 , BGE 79 I 26 , BGE 82 II 573 /74). Hier hat der Schuldner nach dem Gesagten einen wirklichen Wohnsitz in Basel behalten, nicht bloss einen fiktiven im Sinne des Art. 24 Abs. 1 ZGB , der nach der Sondervorschrift des Art. 48 SchKG nicht als ordentlicher Betreibungsort gelten könnte (vgl. BGE 82 III 13 mit Hinweisen). Wo die Ausweisschriften hinterlegt sind, ist, wie allgemein anerkannt wird, nicht entscheidend und fällt gegenüber den persönlichen Lebensbeziehungen und Interessen nicht ins Gewicht (vgl. BGE 41 I 454 , BGE 42 I 95 ; TH. HOLENSTEIN, a.a.O. S. 83).</w:t>
      </w:r>
    </w:p>
    <w:p>
      <w:r>
        <w:rPr>
          <w:b/>
        </w:rPr>
        <w:t>E. 2</w:t>
      </w:r>
    </w:p>
    <w:p>
      <w:r>
        <w:t>Nach Art. 64 SchKG werden die Betreibungsurkunden dem Schuldner in seiner Wohnung oder an dem Orte, wo er seinen Beruf auszuüben pflegt, zugestellt. Da Sutter seinen wirklichen Wohnsitz in Basel behalten hatte, bestand nicht nur der dortige Betreibungsort weiter, sondern es war auch die Zustellung in der Wohnung zulässig, wo der Schuldner seine Familie hat und wohin er in kurzen Zeitabständen zurückzukehren pflegt. Für die Zustellung war also nicht die Vorschrift des Art. 66 Abs. 1 SchKG massgebend, die bei einem nicht am Orte der Betreibung befindlichen Wohnsitz gilt (vgl. BGE 68 III 146 ff.). Ob der Schuldner aus Gründen der Angemessenheit hätte mit einem zuvor an das Betreibungsamt gerichteten Gesuche verlangen können, dass der zweite in Art. 64 Abs. 1 SchKG vorgesehene Weg der Zustellung beschritten, nämlich der (auswärtige) Ort der Arbeitsausübung berücksichtigt werde, kann offen bleiben. Denn ein solches Gesuch BGE 88 III 135 S. 140 war nicht gestellt worden, und es steht dahin, ob dem Schuldner überhaupt daran lag, Betreibungsurkunden an der Stätte seines Volontariates in Locarno zu erhalten, wo er übrigens wegen seiner vielen Reisen nach Basel und Deutschland oft nicht anzutreffen gewesen wäre. Somit muss es bei der rechtmässig an die Ehefrau erfolgten Zustellung sein Bewenden haben, wobei dem Schuldner das Recht vorbehalten blieb, unter den Voraussetzungen des Art. 77 SchKG einen nachträglichen Rechtsvorschlag anzubringen.</w:t>
      </w:r>
    </w:p>
    <w:p>
      <w:r>
        <w:rPr>
          <w:b/>
        </w:rPr>
        <w:t>E. 3</w:t>
      </w:r>
    </w:p>
    <w:p>
      <w:r>
        <w:t>Der Rekurs ist gemäss dem in kantonaler Instanz gestellten Beschwerdeantrag dahin gutzuheissen, dass das Gläubigerdoppel des Zahlungsbefehls den Vermerk "zugestellt" zu tragen hat. Der vor Bundesgericht beantragte Zusatz "kein Rechtsvorschlag" fällt als unzulässige Ergänzung des Begehrens ( Art. 79 Abs. 1 Satz 2 OG ) ausser Betracht. Das Betreibungsamt wird aber von sich aus im Gläubigerdoppel anzugeben haben, ob Recht vorgeschlagen wurde oder nicht. Dispositiv Demnach erkennt die Schuldbetr.- u. Konkurskammer: Der Rekurs wird gutgeheissen, der angefochtene Entscheid aufgehoben und das Betreibungsamt Basel-Stadt angewiesen, dem Rekurrenten (Gläubiger) eine Ausfertigung des Zahlungsbefehls Nr. 75737 mit dem Vermerk "zugestellt" zuzusenden.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