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129</w:t>
      </w:r>
    </w:p>
    <w:p>
      <w:r>
        <w:t>Bundesgericht (BGE), 1962-09-21, FR</w:t>
      </w:r>
    </w:p>
    <w:p>
      <w:r>
        <w:rPr>
          <w:b/>
        </w:rPr>
        <w:t xml:space="preserve">Quelle: </w:t>
      </w:r>
      <w:r>
        <w:t>https://mcp.opencaselaw.ch/entscheid/bge_BGE_88_III_129</w:t>
      </w:r>
    </w:p>
    <w:p>
      <w:r>
        <w:t>FR: ATF 88 III 129</w:t>
      </w:r>
    </w:p>
    <w:p>
      <w:r>
        <w:t>IT: DTF 88 III 129</w:t>
      </w:r>
    </w:p>
    <w:p>
      <w:pPr>
        <w:pStyle w:val="Heading2"/>
      </w:pPr>
      <w:r>
        <w:t>Regeste</w:t>
      </w:r>
    </w:p>
    <w:p>
      <w:r>
        <w:t>Regeste Art. 146 und 219 SchKG. Vorrecht der dritten Klasse zu Gunsten eines Zahnarztes. Dauer dieses Vorrechts.</w:t>
      </w:r>
    </w:p>
    <w:p>
      <w:r>
        <w:t>Regeste Art. 146 et 219 LP. Privilège de la troisième classe en faveur d'un médecin-dentiste; sa durée.</w:t>
      </w:r>
    </w:p>
    <w:p>
      <w:r>
        <w:t>Regesto Art. 146 e 219 LEF. Privilegio della terza classe a favore di un medico dentista; durata di detto privilegio.</w:t>
      </w:r>
    </w:p>
    <w:p>
      <w:pPr>
        <w:pStyle w:val="Heading2"/>
      </w:pPr>
      <w:r>
        <w:t>Erwägungen</w:t>
      </w:r>
    </w:p>
    <w:p>
      <w:r>
        <w:rPr>
          <w:b/>
        </w:rPr>
        <w:t>E. 2</w:t>
      </w:r>
    </w:p>
    <w:p>
      <w:r>
        <w:t>Lorsque le produit de la vente ne suffit pas pour payer intégralement tous les créanciers, l'office dresse un état de collocation dans lequel ceux-ci sont admis au rang auquel ils auraient droit en cas de faillite (art. 146 LP). En vertu de l'art. 219 LP, sont colloquées en troisième classe les créances des médecins reconnus par l'Etat, pour l'année avant l'ouverture de la faillite (ici la saisie). Le recourant admet que ces dispositions, prises à la lettre, justifient la décision attaquée. Il conviendrait cependant, selon lui, que la Chambre continuât l'oeuvre du législateur et admît que le privilège subsiste tant que le créancier, ne recouvrant qu'un dividende ou une partie de son dû, poursuit le débiteur, avec ou sans nouveau commandement de payer. Semblable intervention de la Chambre ne s'imposerait que si la loi contenait une lacune manifeste ou si son application conduisait à un résultat absurde que le législateur ne voulait pas. Tel n'est pas le cas. Rien ne postule, contrairement au texte de la loi, qu'une créance privilégiée au cours d'une poursuite déterminée le soit encore ultérieurement, dans d'autres poursuites. Il est même contraire à la nature exceptionnelle d'un privilège de l'étendre. On ne saurait apporter un tempérament en BGE 88 III 129 S. 131 prescrivant que le créancier devra poursuivre le débiteur "sans discontinuer". Cette règle, en effet, serait par trop imprécise et, de plus, souvent inapplicable dans le cas de l'art. 265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