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103</w:t>
      </w:r>
    </w:p>
    <w:p>
      <w:r>
        <w:t>Bundesgericht (BGE), 1962-01-01, DE</w:t>
      </w:r>
    </w:p>
    <w:p>
      <w:r>
        <w:rPr>
          <w:b/>
        </w:rPr>
        <w:t xml:space="preserve">Quelle: </w:t>
      </w:r>
      <w:r>
        <w:t>https://mcp.opencaselaw.ch/entscheid/bge_BGE_88_III_103</w:t>
      </w:r>
    </w:p>
    <w:p>
      <w:r>
        <w:t>FR: ATF 88 III 103</w:t>
      </w:r>
    </w:p>
    <w:p>
      <w:r>
        <w:t>IT: DTF 88 III 103</w:t>
      </w:r>
    </w:p>
    <w:p>
      <w:pPr>
        <w:pStyle w:val="Heading2"/>
      </w:pPr>
      <w:r>
        <w:t>Regeste</w:t>
      </w:r>
    </w:p>
    <w:p>
      <w:r>
        <w:t>Regeste Unpfändbarkeit von Möbeln (Art. 92 Ziff. 1 SchKG). Beschwerde- und Rekurslegitimation des Ehemanns der Schuldnerin. Ist das gepfändete Möbelstück unentbehrlich? Ein zwar nicht unentbehrliches, aber doch nur schwer zu entbehrendes Möbelstück ist unpfändbar, wenn der Überschuss des Verwertungserlöses über die Kosten nur einen sehr geringen Teil der Forderung des Gläubigers zu decken vermöchte. Von der Verwertung ist abzusehen, wenn der Erlös nicht einmal die Kosten decken würde (Art. 127 SchKG analog).</w:t>
      </w:r>
    </w:p>
    <w:p>
      <w:r>
        <w:t>Regeste Insaisissabilité des meubles (art. 92 ch. 1 LP). Qualité du mari de la débitrice pour former une plainte ou un recours. Le meuble saisi est-il indispensable? Si, dans la négative, il est néanmoins difficile de s'en passer, le meuble est insaisissable lorsque l'excédent du produit de la réalisation sur les frais ne couvrirait qu'une très faible partie de la créance. On renoncera à la vente quand le produit de la réalisation ne rembourserait même pas les frais (Art. 127 LP, par analogie).</w:t>
      </w:r>
    </w:p>
    <w:p>
      <w:r>
        <w:t>Regesto Impignorabilità di mobili (art. 92 num. 1 LEF). Qualità del marito della debitrice per interporre reclamo e ricorso. È indispensabile il mobile pignorato? Se non lo è, ma è difficile farne a meno, il mobile è impignorabile quando l'eccedenza del provento della realizzazione sulle spese coprirebbe solo una esigua parte del credito. Non si deve procedere alla realizzazione quando il provento non coprirebbe nemmeno le spese (art. 127 LEF, per analogia).</w:t>
      </w:r>
    </w:p>
    <w:p>
      <w:pPr>
        <w:pStyle w:val="Heading2"/>
      </w:pPr>
      <w:r>
        <w:t>Erwägungen</w:t>
      </w:r>
    </w:p>
    <w:p>
      <w:r>
        <w:rPr>
          <w:b/>
        </w:rPr>
        <w:t>E. 1</w:t>
      </w:r>
    </w:p>
    <w:p>
      <w:r>
        <w:t>Laut Pfändungsurkunde leben die Schuldnerin und ihr Ehemann unter Gütertrennung. Der Ehemann ist also in der vorliegenden Angelegenheit nicht von Gesetzes wegen ( Art. 168 Abs. 2 ZGB ) Vertreter der Schuldnerin. Es darf jedoch angenommen werden, die Schuldnerin, die nach seinen Angaben im Rekurs an die Vorinstanz im Spital liegt und in deren Einverständnis er zu handeln erklärt, habe ihn zur Rekurserhebung ermächtigt. Zudem hat er als mit der Schuldnerin zusammenlebender Angehöriger derselben ein selbständiges Recht, die Unpfändbarkeit der Hausgeräte geltend zu machen, die der Familie dienen ( BGE 80 III 22 f. Erw. 1 und 2).</w:t>
      </w:r>
    </w:p>
    <w:p>
      <w:r>
        <w:rPr>
          <w:b/>
        </w:rPr>
        <w:t>E. 2</w:t>
      </w:r>
    </w:p>
    <w:p>
      <w:r>
        <w:t>Die Vorinstanz nimmt in Übereinstimmung mit dem Betreibungsamt und mit der untern Aufsichtsbehörde an, die Familie der Schuldnerin könne die Kleider, die Wäsche, die übrigen persönlichen Effekten, das Geschirr, BGE 88 III 103 S. 105 die Lebensmittelvorräte, das Schulmaterial der Kinder usw. auch nach Wegnahme des Kombibuffets noch unterbringen, da ihr ein zweitüriger Kasten und zwei Kombischränke belassen worden seien und da für das Geschirr und die Lebensmittel überdies ein eingebautes Buffet in der Küche zur Verfügung stehe. Ob diese Annahme zutreffe, ist eine Tat- und Ermessensfrage, die das Bundesgericht nicht überprüfen kann ( Art. 63 Abs. 2 und Art. 81 OG ; Art. 19 im Gegensatz zu Art. 17/18 SchKG). Reichen die der Familie verbleibenden Behältnisse aus, um die erwähnten Gegenstände zu versorgen, so ist das Kombibuffet im Sinne von Art. 92 Ziff. 1 SchKG nicht unentbehrlich.</w:t>
      </w:r>
    </w:p>
    <w:p>
      <w:r>
        <w:rPr>
          <w:b/>
        </w:rPr>
        <w:t>E. 3</w:t>
      </w:r>
    </w:p>
    <w:p>
      <w:r>
        <w:t>Die in Art. 92 Ziff. 1 SchKG genannten Gegenstände sind indes nach dieser Bestimmung nicht nur dann unpfändbar, wenn sie dem Schuldner und seiner Familie unentbehrlich sind, sondern auch dann, "wenn von vornherein anzunehmen ist, dass der Überschuss des Verwertungserlöses über die Kosten so gering wäre, dass sich eine Wegnahme nicht rechtfertigt." Beim Entscheid darüber, ob ein Gegenstand aus diesem letztern Grunde freizugeben sei, ist von Bedeutung, ob es sich um einen ganz überflüssigen Gegenstand oder aber um einen solchen handelt, der für die Familie nützlich ist und nur zur Not entbehrt werden kann. Im ersten Falle muss die Pfändung gestattet werden, selbst wenn der Verwertungserlös voraussichtlich nur einen kleinen Teil der Forderung des Gläubigers zu decken vermag. Im zweiten Falle ist dagegen nach einem strengern Masstab zu prüfen, ob die Verwertung sich rechtfertige. Das streitige Kombibuffet ist, auch wenn es nicht geradezu als unentbehrlich gelten kann, der Schuldnerin und ihrer Familie ohne Zweifel doch sehr dienlich und könnte nur schwer entbehrt werden; denn es ist klar, dass die drei als unpfändbar erklärten Schränke, die Kommode und das eingebaute Küchenbuffet (- ein eingebauter Wandschrank fehlt -) nur äusserst knapp genügen können, um die für zwei Erwachsene und zwei Kinder von 13 bezw. BGE 88 III 103 S. 106 12 Jahren nötigen, der Verwahrung in einem Behältnis bedürftigen Gegenstände unterzubringen. (Nach dem gewöhnlichen Lauf der Dinge ist übrigens anzunehmen, dass auch für den 18-jährigen Sohn, der auswärts in einer Lehre steht, aber jeweilen das Wochenende bei der Familie verbringt, gewisse Gegenstände zuhause verwahrt werden.) Anderseits handelt es sich beim gepfändeten Kombibuffet, wie die Vorinstanz selber festgestellt hat, um ein altes Möbelstück. Sein Gebrauchswert für die Schuldnerin und ihre Familie übersteigt den zu erwartenden Erlös, den das Betreibungsamt auf Fr. 40.- geschätzt hat, bei weitem. Die Betreibungskosten belaufen sich nach der Pfändungsurkunde heute schon auf Fr. 17.90, welcher Betrag sich im Falle der Verwertung noch erhöhen würde. Der Überschuss des Verwertungserlöses über die Kosten vermöchte also nur einen äusserst geringfügigen Teil der Fr. 3000. - übersteigenden Forderung des betreibenden Gläubigers zu decken. Unter diesen Umständen ist die Wegnahme des Kombibuffets im Sinne von Art. 92 Ziff. 1 SchKG nicht gerechtfertigt (vgl. BGE 82 III 22 Erw. 1, wo sogar für Gegenstände - eine alte Schlafzimmereinrichtung - im Schätzungswerte von Fr. 120 angenommen wurde, es könne sich fragen, ob die Wegnahme sich rechtfertige).</w:t>
      </w:r>
    </w:p>
    <w:p>
      <w:r>
        <w:rPr>
          <w:b/>
        </w:rPr>
        <w:t>E. 4</w:t>
      </w:r>
    </w:p>
    <w:p>
      <w:r>
        <w:t>Mit Bezug auf die Gegenstände, die neben dem als unpfändbar zu erklärenden Kombibuffet gepfändet wurden, ist die Pfändung nicht angefochten worden und daher in Rechtskraft erwachsen. Da der Schätzungswert dieser Gegenstände nur Fr. 34 beträgt, kann sich jedoch die Frage stellen, ob von ihrer Verwertung deswegen abzusehen sei, weil der Erlös nicht einmal die Kosten decken würde (vgl. BGE 83 III 134 ). Hierüber ist indes im vorliegenden Verfahren nicht zu entscheiden. Dispositiv Demnach erkennt die Schuldbetr.- u. Konkurskammer: Der Rekurs wird gutgeheissen, der angefochtene Entscheid aufgehoben und das Kombibuffet als unpfändbar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