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97</w:t>
      </w:r>
    </w:p>
    <w:p>
      <w:r>
        <w:t>Bundesgericht (BGE), 1961-03-08, DE</w:t>
      </w:r>
    </w:p>
    <w:p>
      <w:r>
        <w:rPr>
          <w:b/>
        </w:rPr>
        <w:t xml:space="preserve">Quelle: </w:t>
      </w:r>
      <w:r>
        <w:t>https://mcp.opencaselaw.ch/entscheid/bge_BGE_87_I_97</w:t>
      </w:r>
    </w:p>
    <w:p>
      <w:r>
        <w:t>FR: ATF 87 I 97</w:t>
      </w:r>
    </w:p>
    <w:p>
      <w:r>
        <w:t>IT: DTF 87 I 97</w:t>
      </w:r>
    </w:p>
    <w:p>
      <w:pPr>
        <w:pStyle w:val="Heading2"/>
      </w:pPr>
      <w:r>
        <w:t>Regeste</w:t>
      </w:r>
    </w:p>
    <w:p>
      <w:r>
        <w:t>Regeste Art. 4 BV; Art. 80 und 131 SchKG; Art. 60 VVG. Das Urteil, das den Versicherungsnehmer zu Schadenersatzleistungen an den Geschädigten verpflichtet, stellt für den Geschädigten, der sich die Ansprüche des Versicherungsnehmers gegen den Haftpflichtversicherer hat abtreten lassen und diesen nun dafür betreibt, keinen Rechtsöffnungstitel dar.</w:t>
      </w:r>
    </w:p>
    <w:p>
      <w:r>
        <w:t>Regeste Art. 4 Cst; art. 80 et 131 LP; art. 60 LCA. Le jugement qui condamne une personne à payer des dommagesintérêts à une autre ne constitue pas un titre de mainlevée pour cette dernière lorsqu'elle poursuit l'assureur-responsabilité civile de la défenderesse après s'être fait céder les droits que celle-ci avait contre lui.</w:t>
      </w:r>
    </w:p>
    <w:p>
      <w:r>
        <w:t>Regesto Art. 4 CF; art. 80 e 131 LEF; art. 60 LCA. La sentenza di condanna di un assicurato a risarcire un terzo, non costituisce titolo di rigetto della opposizione nel procedimento esecutivo che il terzo danneggiato, resosi cessionario dei diritti dell'assicurato, ha promosso contro l'assicurazione.</w:t>
      </w:r>
    </w:p>
    <w:p>
      <w:pPr>
        <w:pStyle w:val="Heading2"/>
      </w:pPr>
      <w:r>
        <w:t>Erwägungen</w:t>
      </w:r>
    </w:p>
    <w:p>
      <w:r>
        <w:rPr>
          <w:b/>
        </w:rPr>
        <w:t>E. 1</w:t>
      </w:r>
    </w:p>
    <w:p>
      <w:r>
        <w:t>Die Haftpflichtversicherung der Radfahrer untersteht nicht den Sondervorschriften der Automobilhaftpflicht (im massgebenden Zeitpunkt Art. 48-51 MFG), sondern dem VVG als dem gemeinen eidgenössischen Recht (STREBEL, N. 7 zu Art. 31 MFG). Im Gegensatz zu Art. 49 Abs. 1 MFG, der ein Forderungsrecht unmittelbar gegen den Versicherer vorsieht, gewährt Art. 60 Abs. 1 VVG dem Geschädigten lediglich ein Pfandrecht am Ersatzanspruch, der dem Versicherungsnehmer aus der Versicherung gegen die Folgen gesetzlicher Haftpflicht zusteht. Dem Geschädigten können daher gegenüber dem Versicherer nicht mehr Rechte zukommen als dem Versicherungsnehmer selbst; er muss sich demgemäss (anders als nach Art. 50 Abs. 1 MFG) alle Einreden entgegenhalten lassen, die der Versicherer gegenüber dem Versicherungsnehmer erheben BGE 87 I 97 S. 99 kann ( BGE 56 II 457 ; JAEGER, N. 29 zu Art. 60 VVG ). Lässt sich der Geschädigte in der Betreibung auf Pfandverwertung die Ersatzforderung übertragen, an der er nach Art. 60 Abs. 1 VVG ein Pfandrecht besitzt, so rückt er in die Rechtsstellung des Versicherungsnehmers ein; er erwirbt auch dadurch nicht mehr Rechte als diesem zustehen. In seinem Urteil vom 30. März 1960 hat das Obergericht den Schadenersatzbetrag festgesetzt, den Frau Kaufmann dem Beschwerdeführer aus unerlaubter Handlung schuldet. Über die Deckung des Schadens hatte das Obergericht sich nicht auszusprechen; es hatte nicht über die Ansprüche zu befinden, die der als haftpflichtig Erklärten auf Grund des Versicherungsvertrags gegen die Beschwerdegegnerin zustehen. Das Urteil entfaltet demzufolge zwischen Frau Kaufmann bzw. dem Beschwerdeführer als deren Rechtsnachfolger einerseits und der Beschwerdegegnerin andererseits keine Rechtskraft. Es ist deshalb nicht nur nicht willkürrlich, sondern richtig, wenn das Obergericht das Urteil vom 30. März 1960 in der gegen die Beschwerdegegnerin erhobenen Betreibung nicht als Rechtsöffnungstitel anerkannt hat. Würde anders entschieden, so würde die Beschwerdegegnerin auf die Einreden aus Art. 81 SchKG beschränkt und es würden ihr die Einwendungen abgeschnitten, die ihr aus dem Versicherungsvertrag zustehen. Das Bundesgericht hat denn auch das Urteil SVA Bd. V Nr. 293, worauf sich der Beschwerdeführer zur Stützung seiner Ansicht beruft, in BGE 56 II 457 ausdrücklich als irrig bezeichnet (im nämlichen Sinne JAEGER, N. 29 zu Art. 60 VVG , Fussnote e).</w:t>
      </w:r>
    </w:p>
    <w:p>
      <w:r>
        <w:rPr>
          <w:b/>
        </w:rPr>
        <w:t>E. 2</w:t>
      </w:r>
    </w:p>
    <w:p>
      <w:r>
        <w:t>Die Rüge, das Obergericht habe ausser Acht gelassen, dass die Beschwerdegegnerin nach dem Versicherungsvertrag "an Statt" des Versicherten die Schadenersatzansprüche von Drittpersonen zu befriedigen habe, ist neu und daher in einer staatsrechtlichen Beschwerde, welche die Erschöpfung des kantonalen Instanzenzugs voraussetzt, unzulässig ( BGE 73 I 112 , BGE 84 I 164 Erw. 1 BGE 87 I 97 S. 100 mit Verweisungen). Sie hielte überdies einer materiellen Prüfung nicht stand. Nach Art. 1 der allgemeinen Versicherungsbedingungen obliegt der Beschwerdegegnerin die Befriedigung von Schadenersatzansprüchen Dritter nur "im Rahmen der gegenwärtigen Versicherungsbedingungen". Ob sie entgegen ihrer Bestreitung gemäss den Versicherungsbedingungen, insbesondere in Anbetracht der darin festgesetzten Höchst-Versicherungssummen, zu weiteren als den bereits erbrachten Leistungen verpflichtet sei, bildet nach dem Gesagten nicht Gegenstand des Urteils des Obergerichts vom 30. März 1960. Dieses ist deshalb nicht geeignet, in diesem Punkte Recht zu schaffen.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