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91</w:t>
      </w:r>
    </w:p>
    <w:p>
      <w:r>
        <w:t>Bundesgericht (BGE), 1961-02-01, DE</w:t>
      </w:r>
    </w:p>
    <w:p>
      <w:r>
        <w:rPr>
          <w:b/>
        </w:rPr>
        <w:t xml:space="preserve">Quelle: </w:t>
      </w:r>
      <w:r>
        <w:t>https://mcp.opencaselaw.ch/entscheid/bge_BGE_87_I_91</w:t>
      </w:r>
    </w:p>
    <w:p>
      <w:r>
        <w:t>FR: ATF 87 I 91</w:t>
      </w:r>
    </w:p>
    <w:p>
      <w:r>
        <w:t>IT: DTF 87 I 91</w:t>
      </w:r>
    </w:p>
    <w:p>
      <w:pPr>
        <w:pStyle w:val="Heading2"/>
      </w:pPr>
      <w:r>
        <w:t>Regeste</w:t>
      </w:r>
    </w:p>
    <w:p>
      <w:r>
        <w:t>Regeste Rückforderungsrecht. Art. 102 lit. c EntG gewährt dem Enteigneten kein zeitlich unbeschränktes Rückforderungsrecht. Hat der Enteignete von seinem 5 bzw. 25 Jahre nach der Enteignung entstehenden Rückforderungsrecht gemäss Art. 102 lit. a oder b keinen Gebrauchgemacht, sondern dieses Recht verjähren lassen, so ist eine spätere Rückforderung auf Grund von Art. 102 lit. c ausgeschlossen.</w:t>
      </w:r>
    </w:p>
    <w:p>
      <w:r>
        <w:t>Regeste Rétrocession. Le droit à la rétrocession prévu à l'art. 102 lettre c LEx n'est pas illimité dans le temps. Si l'exproprié a laissé prescrire les droits que lui donne l'art. 102 à la lettre a (après 5 ans) et à la lettre b (après 25 ans), il ne peut plus exiger la rétrocession en vertu de l'art. 102 lettre c.</w:t>
      </w:r>
    </w:p>
    <w:p>
      <w:r>
        <w:t>Regesto Retrocessione. Il diritto alla retrocessione previsto nell'art. 102 lett. c LEspr. non è illimitato nel tempo. Se l'espropriato ha lasciato cadere in prescrizione i diritti che gli spettano secondo l'art. 102 lett. a (dopo 5 anni) e lett. b (dopo 25 anni), non può più esigere la retrocessione conformemente all'art. 102 lett. c.</w:t>
      </w:r>
    </w:p>
    <w:p>
      <w:pPr>
        <w:pStyle w:val="Heading2"/>
      </w:pPr>
      <w:r>
        <w:t>Erwägungen</w:t>
      </w:r>
    </w:p>
    <w:p>
      <w:r>
        <w:rPr>
          <w:b/>
        </w:rPr>
        <w:t>E. 41</w:t>
      </w:r>
    </w:p>
    <w:p>
      <w:r>
        <w:t>I 345 , 47 I 541 Erw. 4) die Rückforderung selbst im Falle der Veräusserung oder der Verwendung zu einem andern als dem Enteignungszweck dann ausschliesst, wenn das enteignete Recht zu einem öffentlichen Zwecke verwendet worden ist. Entfällt aber die Rückforderung nach lit. c, wenn das enteignete Recht auch nur vorübergehend bestimmungsgemäss verwendet worden ist, so ist nicht einzusehen, warum sie dann zulässig sein soll, wenn der Enteignete Gelegenheit hatte, sie nach 5 bzw. 25 Jahren seit der Enteignung zu verlangen, hievon jedoch keinen Gebrauch machte, sondern sein Recht verjähren liess. Im vorliegenden Falle war Hofer, wie oben dargelegt, gemäss Art. 102 lit. b EntG während des Jahres 1935 berechtigt, das für die Dammböschungen enteignete Land zurückzuverlangen. Er hat dieses Recht indes nicht ausgeübt, sondern verjähren lassen. Da dies jede spätere Rückforderung nach lit. c ausschliesst, hätte die Schätzungskommission sein Rückforderungsbegehren vorbehaltlos und nicht bloss "für dermalen" abweisen sollen. Die Beschwerde der SBB ist daher gutzuheissen und festzustellen, dass das Rückforderungsrecht Hofers endgültig verjährt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