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81</w:t>
      </w:r>
    </w:p>
    <w:p>
      <w:r>
        <w:t>Bundesgericht (BGE), 1961-05-12, DE</w:t>
      </w:r>
    </w:p>
    <w:p>
      <w:r>
        <w:rPr>
          <w:b/>
        </w:rPr>
        <w:t xml:space="preserve">Quelle: </w:t>
      </w:r>
      <w:r>
        <w:t>https://mcp.opencaselaw.ch/entscheid/bge_BGE_87_I_81</w:t>
      </w:r>
    </w:p>
    <w:p>
      <w:r>
        <w:t>FR: ATF 87 I 81</w:t>
      </w:r>
    </w:p>
    <w:p>
      <w:r>
        <w:t>IT: DTF 87 I 81</w:t>
      </w:r>
    </w:p>
    <w:p>
      <w:pPr>
        <w:pStyle w:val="Heading2"/>
      </w:pPr>
      <w:r>
        <w:t>Regeste</w:t>
      </w:r>
    </w:p>
    <w:p>
      <w:r>
        <w:t>Regeste Strafrechtliche Verantwortlichkeit des Bundesbeamten; Ermächtigung zur Strafverfolgung (Art. 15 des Verantwortlichkeitsgesetzes vom 14. März 1958). 1. Zulässigkeit der Verwaltungsgerichtsbeschwerde (Erw. 1). 2. Die Ermächtigung zur Strafverfolgung ist zu verweigern, wenn offensichtlich ein Straftatbestand nicht erfüllt ist (Erw. 2, 3).</w:t>
      </w:r>
    </w:p>
    <w:p>
      <w:r>
        <w:t>Regeste Responsabilité pénale du fonctionnaire fédéral; autorisation nécessaire pour ouvrir une poursuite pénale (art. 15 de la loi sur la responsabilité, du 14 mars 1958). 1. Recevabilité du recours de droit administratif (consid. 1). 2. L'autorisation d'ouvrir une poursuite pénale doit être refusée lorsqu'il n'existe évidemment pas de faits constitutifs d'un délit (consid. 2 et 3).</w:t>
      </w:r>
    </w:p>
    <w:p>
      <w:r>
        <w:t>Regesto Responsabilità penale del funzionario federale; permesso necessario per promuovere un procedimento penale (art. 15 della legge sulla responsabilità, del 14 marzo 1958). 1. Ricevibilità del ricorso di diritto amministrativo (consid. 1). 2. Il permesso per promuovere un procedimento penale dev'essere negato quando risulti in modo evidente che non esistono fatti costitutivi di un reato (consid. 2 e 3).</w:t>
      </w:r>
    </w:p>
    <w:p>
      <w:pPr>
        <w:pStyle w:val="Heading2"/>
      </w:pPr>
      <w:r>
        <w:t>Erwägungen</w:t>
      </w:r>
    </w:p>
    <w:p>
      <w:r>
        <w:rPr>
          <w:b/>
        </w:rPr>
        <w:t>E. 1</w:t>
      </w:r>
    </w:p>
    <w:p>
      <w:r>
        <w:t>X. ist Bundesbeamter. Er hat das Gutachten vom 13. Oktober 1959 in Ausübung seines Amtes erstattet. Seine Strafverfolgung wegen der ihm von der Beschwerdeführerin vorgeworfenen Abgabe eines falschen Gutachtens ( Art. 307 StGB ) bedarf daher nach Art. 15 Abs. 1 VG einer Ermächtigung des Eidg. Justiz- und Polizeidepartementes. Der angefochtene Entscheid, mit dem das Departement die Ermächtigung verweigert hat, unterliegt gemäss Art. 15 Abs. 5 VG der Verwaltungsgerichtsbeschwerde. Nach dem letzten Satz des gleichen Absatzes steht die Beschwerde u.a. dem Verletzten zu, der Bestrafung des BGE 87 I 81 S. 84 Beamten verlangt. Frau H. ist Verletzte im Sinne dieser Bestimmung und daher zur Beschwerde legitimiert. Die Beschwerde ist rechtzeitig eingereicht worden. Dagegen enthält die Beschwerdeschrift weder einen förmlichen Antrag, noch werden darin deutlich Rügen erhoben, welche nach dem Gesetz in der Verwaltungsgerichtsbeschwerde vorgebracht werden können. Immerhin kann der Begründung der Beschwerde entnommen werden, dass die Beschwerdeführerin verlangen will, der angefochtene Entscheid sei aufzuheben und die darin verweigerte Ermächtigung sei gemäss Art. 15 Abs. 3 VG zu erteilen, weil entgegen der Auffassung des Departementes der Straftatbestand des Art. 307 StGB als gegeben erscheine. Es kann angenommen werden, dass die in Art. 90/107 OG an den Inhalt der Verwaltungsgerichtsbeschwerde gestellten Anforderungen erfüllt sind. Auf die Beschwerde ist daher einzutreten.</w:t>
      </w:r>
    </w:p>
    <w:p>
      <w:r>
        <w:rPr>
          <w:b/>
        </w:rPr>
        <w:t>E. 2</w:t>
      </w:r>
    </w:p>
    <w:p>
      <w:r>
        <w:t>Art. 15 Abs. 3 VG bestimmt: "Erscheinen ein Straftatbestand und die gesetzlichen Voraussetzungen der Strafverfolgung als erfüllt, so darf die Ermächtigung nur in leichten Fällen verweigert werden, und sofern die Tat nach allen Umständen durch eine disziplinarische Bestrafung des Fehlbaren als genügend geahndet erscheint." Danach braucht im Vorverfahren, in dem über die Ermächtigung zu entscheiden ist, nicht schon vollständig abgeklärt zu werden, ob ein Straftatbestand und die gesetzlichen Voraussetzungen der Strafverfolgung erfüllt sind oder nicht. Diese Fragen sind im nachfolgenden Strafverfahren näher zu prüfen, falls die Ermächtigung zur Strafverfolgung erteilt wird. Im Ermächtigungsverfahren ist lediglich eine Vorprüfung vorzunehmen. Die Ermächtigung ist zu erteilen, wenn diese Prüfung Anhaltspunkte dafür ergibt, dass ein Straftatbestand und die gesetzlichen Voraussetzungen der Strafverfolgung gegeben sein könnten, es wäre denn, dass ein leichter Fall vorliegt und eine disziplinarische Bestrafung des Beamten als genügende Sanktion erscheint. Dagegen ist die Ermächtigung zu BGE 87 I 81 S. 85 verweigern, wenn sich im Vorprüfungsverfahren herausstellt, dass ein Straftatbestand oder die gesetzlichen Voraussetzungen der Strafverfolgung offensichtlich nicht erfüllt sind. Dieses Verfahren hat vor allem den Zweck, die Bundesbeamten vor Belästigung durch völlig ungerechtfertigte (insbesondere "trölerische") Strafanzeigen zu schützen und dadurch den reibungslosen Gang der Verwaltung sicherzustellen (vgl. Botschaft des Bundesrates vom 29. Juni 1956, BBl 1956 I S. 1398).</w:t>
      </w:r>
    </w:p>
    <w:p>
      <w:r>
        <w:rPr>
          <w:b/>
        </w:rPr>
        <w:t>E. 3</w:t>
      </w:r>
    </w:p>
    <w:p>
      <w:r>
        <w:t>Nach Art. 307 StGB wird bestraft, wer in einem gerichtlichen Verfahren als Sachverständiger ein falsches Gutachten abgibt. Strafbar ist mangels anderer Anordnung des Gesetzes nur die vorsätzliche, nicht auch die fahrlässige Verübung dieser Tat ( Art. 18 Abs. 1 StGB ). Vorsätzlich verübt die Tat, wer sie mit Wissen und Willen ausführt (Abs. 2 daselbst). X. könnte deshalb nur dann nach Art. 307 StGB bestraft werden, wenn sein Gutachten objektiv falsch wäre und er ausserdem sich der Unrichtigkeit seines Befundes bewusst gewesen wäre. Die Ausführungen der Beschwerdeführerin betreffen im wesentlichen nur den objektiven Tatbestand. Insbesondere versucht Frau H., unter Hinweis auf das jetzige Aussehen des Orlonmantels und auf die Gutachten des Textilinstitutes Dornbirn und der Firma Belrob die im Untersuchungsbericht der EMPA geäusserte Auffassung zu widerlegen, dass die Reinigungsanstalt den Mantel sachgemäss behandelt habe und dass ein wesentlicher Minderwert des Mantels im derzeitigen Zustand, nach fachgerechter Nachbehandlung, kaum geltend zu machen sei. Es mag sein, dass die gutachtlichen Äusserungen, auf welche die Beschwerdeführerin sich beruft, Anlass zu Zweifeln an der objektiven Richtigkeit des Befundes der EMPA geben können. Auf jeden Fall aber bieten sie - und erst recht das Aussehen des Mantels - keinerlei Anhaltspunkte für die Annahme, dass X. bewusst ein falsches Gutachten erstattet haben könnte. Eine solche Annahme wäre schwerlich mit der Tatsache BGE 87 I 81 S. 86 vereinbar, dass der Untersuchungsbericht der EMPA nicht allein von X., sondern ausserdem von seinem Vorgesetzten unterzeichnet ist, dessen Integrität auch von der Beschwerdeführerin nicht bestritten wird. Die Beschwerdeführerin sieht ein Indiz für die Schuld des X. darin, dass er sich geweigert hat, die von ihr "gewünschte" neue Begutachtung vorzunehmen. Dieser Standpunkt der Beschwerdeführerin ist offensichtlich abwegig. Er beruht auf einer völligen Verkennung der Pflichten eines Gerichtsexperten. Nachdem X. zusammen mit seinem Vorgesetzten das vom Gericht erbetene Gutachten erstattet hatte, konnte er selbstverständlich jenem von einer Partei an ihn gestellten sonderbaren Ansinnen nicht Folge geben. Von den Vorbringen der Beschwerdeführerin ist für die Schuldfrage einzig die Behauptung von Bedeutung, X. sei ein "guter Bekannter" des Inhabers der Reinigungsanstalt und habe diesem mit dem Gutachten eine Gefälligkeit erweisen wollen. Indessen haben die im Vorprüfungsverfahren auf Veranlassung der Bundesanwaltschaft durch die Kantonspolizei vorgenommenen Einvernahmen des X. und des Inhabers der Reinigungsanstalt ergeben, dass von einer guten Bekanntschaft zwischen diesen beiden keine Rede sein kann. Entgegen der Vermutung der Beschwerdeführerin hat X. mit dem Inhaber der Reinigungsanstalt lediglich Beziehungen amtlichen Charakters unterhalten, so dass er keinen Anlass haben konnte, di-esen mit einer "Gefälligkeitsexpertise" zu begünstigen. Da keinerlei ernsthafte Indizien für die Annahme, dass X. bewusst ein falsches Gutachten abgegeben haben könnte, ersichtlich sind, ist die angefochtene Verweigerung der Ermächtigung zu dessen Strafverfolgung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