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48</w:t>
      </w:r>
    </w:p>
    <w:p>
      <w:r>
        <w:t>Bundesgericht (BGE), 1961-02-01, FR</w:t>
      </w:r>
    </w:p>
    <w:p>
      <w:r>
        <w:rPr>
          <w:b/>
        </w:rPr>
        <w:t xml:space="preserve">Quelle: </w:t>
      </w:r>
      <w:r>
        <w:t>https://mcp.opencaselaw.ch/entscheid/bge_BGE_87_I_48</w:t>
      </w:r>
    </w:p>
    <w:p>
      <w:r>
        <w:t>FR: ATF 87 I 48</w:t>
      </w:r>
    </w:p>
    <w:p>
      <w:r>
        <w:t>IT: DTF 87 I 48</w:t>
      </w:r>
    </w:p>
    <w:p>
      <w:pPr>
        <w:pStyle w:val="Heading2"/>
      </w:pPr>
      <w:r>
        <w:t>Regeste</w:t>
      </w:r>
    </w:p>
    <w:p>
      <w:r>
        <w:t>Regeste Art. 80 und 81 SchKG. Verhältnis dieser Bestimmungen zu Art. 61 BV (Erw. 1). Art. 59 BV. Der Rechtsöffnungsrichter hat diese Bestimmung von Amtes wegen anzuwenden, wenn der Betriebene die Zuständigkeit des ausserkantonalen Richters bestreitet, der über die in Betreibung gesetzte Forderung entschieden hat (Erw. 2). - Gültigkeit einer Gerichtsstandsklausel? (Erw. 3).</w:t>
      </w:r>
    </w:p>
    <w:p>
      <w:r>
        <w:t>Regeste Art. 80 et 81 LP. Rapport entre ces articles et l'art. 61 Cst. (consid. 1). Art. 59 Cst. Le juge de mainlevée doit appliquer d'office cet article, lorsque l'opposant conteste la compétence du juge d'un autre canton qui s'est prononcé sur la créance à la base de la poursuite (consid. 2). - Validité d'une clause de prorogation de for? (consid. 3).</w:t>
      </w:r>
    </w:p>
    <w:p>
      <w:r>
        <w:t>Regesto Art. 80 e 81 LEF. Relazione tra questi articoli e l'art. 61 CF (consid. 1). Art. 59 CF. Il giudice del rigetto dell'opposizione deve applicare d'ufficio questo articolo, quando l'opponente contesta la competenza del giudice di un altro Cantone che si è pronunciato sul credito su cui si fonda l'esecuzione (consid. 2). - Validità di una clausola di prorogazione di foro? (consid. 3).</w:t>
      </w:r>
    </w:p>
    <w:p>
      <w:pPr>
        <w:pStyle w:val="Heading2"/>
      </w:pPr>
      <w:r>
        <w:t>Erwägungen</w:t>
      </w:r>
    </w:p>
    <w:p>
      <w:r>
        <w:rPr>
          <w:b/>
        </w:rPr>
        <w:t>E. 1</w:t>
      </w:r>
    </w:p>
    <w:p>
      <w:r>
        <w:t>Les art. 80 et 81 LP ne font que préciser, pour le cas particulier de la procédure de mainlevée de l'opposition, l'application de l'art. 61 Cst., selon lequel les jugements civils rendus dans un canton sont exécutoires dans toute la Suisse. C'est pourquoi, dans la mesure où elle se prononce sur la validité du jugement au fond, la décision de mainlevée prononcée en l'espèce par la Cour cantonale peut être attaquée par un recours de droit public fondé sur l'art. 61 Cst. Dans un tel recours, le Tribunal fédéral pourra examiner librement les conditions auxquelles le jugement au fond sera exécutoire (RO 71 I 24).</w:t>
      </w:r>
    </w:p>
    <w:p>
      <w:r>
        <w:rPr>
          <w:b/>
        </w:rPr>
        <w:t>E. 2</w:t>
      </w:r>
    </w:p>
    <w:p>
      <w:r>
        <w:t>Broquet a contesté, en procédure de mainlevée, la compétence du juge bernois qui s'était prononcé sur le fond. Il avait le droit de le faire en vertu de l'art. 81 al. 2 LP qui prévoit expressément ce cas. La Cour cantonale a donc eu raison d'examiner l'exception du recourant. Au cours des instances cantonales, Broquet a invoqué la nullité de la prorogation de for prévue dans le contrat du 7 août 1956, en se fondant uniquement sur l'art. 11 LVC. (Il a abandonné - avec raison - ce moyen de droit dans son mémoire au Tribunal fédéral.) Le recourant considère que la Cour des poursuites et faillites du Tribunal cantonal a fait preuve d'arbitraire et a violé l'art. 4 Cst. en examinant d'office l'application de l'art. 59 Cst. Cette manière de voir ne peut être admise. La compétence du juge bernois étant contestée, le juge devait l'examiner également sous l'angle de l'art. 59 Cst.; s'il avait prononcé BGE 87 I 48 S. 51 la mainlevée sans tenir compte de cette disposition constitutionnelle, l'opposant aurait eu la possibilité de déposer un recours de droit public pour violation de l'art. 59 Cst., même s'il n'avait pas invoqué cet article au cours de la procédure cantonale. En effet, la jurisprudence (RO 83 I 20 consid. 2) a admis que le recourant peut faire valoir devant le Tribunal fédéral des faits et des moyens de droit nouveaux, lors de recours qui sont recevables sans que les instances cantonales aient été épuisées. Or tel est le cas en l'espèce, en vertu de l'art. 86 al. 2 OJ. On peut admettre, en outre, que par le seul fait qu'il a contesté la compétence du juge bernois et revendiqué son for naturel l'opposant a invoqué implicitement l'art. 59 Cst., même s'il ne l'a pas fait expressément.</w:t>
      </w:r>
    </w:p>
    <w:p>
      <w:r>
        <w:rPr>
          <w:b/>
        </w:rPr>
        <w:t>E. 3</w:t>
      </w:r>
    </w:p>
    <w:p>
      <w:r>
        <w:t>D'après la jurisprudence (RO 85 I 150, 84 I 36 et les arrêts cités), la clause de prorogation de for n'est valable que si son contenu ne peut pas prêter à malentendu et si elle exprime sans doute possible la volonté des signataires de se soumettre à un juge autre que celui qui est normalement compétent. En l'espèce, la prorogation de for contenue dans le contrat du 7 août 1956 est parfaitement claire; personne ne le conteste. La seule question qui se pose est de savoir si Broquet en a eu connaissance lorsqu'il a signé le contrat ou si elle lui a échappé, car il est évident qu'une clause dont une partie n'aurait pas eu connaissance ne pourrait exprimer la volonté de celle-ci. A plusieurs reprises, le Tribunal fédéral a déclaré des clauses de prorogation de for non valables, lorsque la partie qui renonçait, selon le contrat, à son juge naturel avait rendu vraisemblable que cet engagement, qu'elle avait effectivement signé, lui avait échappé, soit qu'elle ait été pressée par le temps ou par son co-contractant, soit que la clause ait été perdue au milieu d'un contrat comprenant de nombreux articles (RO 57 I 11, 52 I 268, 49 I 50). C'est ainsi que, dans le dernier arrêt cité, le Tribunal fédéral a relevé que la société qui avait prévu la prorogation de for dans son contrat, aurait dû mettre cette clause en BGE 87 I 48 S. 52 évidence par des moyens appropriés ou en signaler l'existence au recourant lors de la conclusion du contrat. Cependant il ne s'agit évidemment pas là d'une règle de forme à laquelle serait liée la validité de la clause, mais d'un élément d'interprétation de la volonté des parties. La manière dont la clause était alors insérée dans le contrat a permis de considérer comme vraisemblable l'affirmation de la partie qui déclarait ne l'avoir pas remarquée. Dans le cas présent en revanche, Broquet n'a jamais prétendu, au cours de toute la procédure cantonale, qu'il n'avait pas eu connaissance de la prorogation de for; il ne le dit même pas expressément dans son mémoire au Tribunal fédéral. Il n'y a pas lieu d'admettre, dès lors, un vice de la volonté qu'il n'invoque même pas. Au reste, même s'il avait fait valoir ce moyen, on devrait constater que la présente espèce est différente de celles qui ont donné lieu aux arrêts cités: le contrat du 7 août 1956 ne contient que neuf articles, assez courts; la clause de prorogation formant à elle seule l'alinéa 8 se trouve sur la seconde page, séparée seulement des signatures par une courte phrase et par la date. En outre, le contrat portant sur une somme importante a été conclu par un commerçant qui doit avoir une certaine habitude des affaires. Il serait étonnant que ce commerçant achète deux distributeurs automatiques valant plus de 5000 fr. sans lire le texte relativement bref qui lui était soumis. Rien ne permettant d'admettre que le contrat signé par Broquet ne correspondait pas à sa volonté, on doit considérer que celui-ci a renoncé valablement à la garantie donnée par l'art. 59 Cst. et qu'il ne peut pas invoquer l'incompétence du juge bernois.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