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42</w:t>
      </w:r>
    </w:p>
    <w:p>
      <w:r>
        <w:t>Bundesgericht (BGE), 1961-01-01, FR</w:t>
      </w:r>
    </w:p>
    <w:p>
      <w:r>
        <w:rPr>
          <w:b/>
        </w:rPr>
        <w:t xml:space="preserve">Quelle: </w:t>
      </w:r>
      <w:r>
        <w:t>https://mcp.opencaselaw.ch/entscheid/bge_BGE_87_I_42</w:t>
      </w:r>
    </w:p>
    <w:p>
      <w:r>
        <w:t>FR: ATF 87 I 42</w:t>
      </w:r>
    </w:p>
    <w:p>
      <w:r>
        <w:t>IT: DTF 87 I 42</w:t>
      </w:r>
    </w:p>
    <w:p>
      <w:pPr>
        <w:pStyle w:val="Heading2"/>
      </w:pPr>
      <w:r>
        <w:t>Regeste</w:t>
      </w:r>
    </w:p>
    <w:p>
      <w:r>
        <w:t>Regeste Art. 45 Abs. 4 BV. 1. Diese Bestimmung ist anwendbar auf einen Kantonsangehörigen, der aus einem andern Kanton kommt (und sich in eine Gemeinde begibt, die nicht verpflichtet ist, ihn zu unterstützen). 2. Die Voraussetzungen der Anwendung von Art. 45 BV werden durch den Zeitablauf als solchen grundsätzlich nicht berührt (Erw. 1). 3. Fall, wo die kantonale Behörde nach der Rechtsprechung des Bundesgerichts gezwungen war, eine Person zu dulden, die das Recht auf Niederlassung nicht hatte. Wie verhält es sich mit einer Person, die nach Verweigerung der Niederlassungsbewilligung in einer Gemeinde trotzdem geduldet wird, weil der Kanton die Unterstützungspflicht übernimmt anstelle der Gemeinde, der sie normalerweise obliegt? Art. 4 BV (Erw. 2).</w:t>
      </w:r>
    </w:p>
    <w:p>
      <w:r>
        <w:t>Regeste Art. 45 al. 4 Cst. 1. Cette disposition s'applique dans le cas d'un ressortissant venant d'un autre canton (et se rendant dans une commune qui n'était pas tenue de l'assister). 2. L'écoulement du temps ne modifie pas, en soi et à lui seul, les conditions d'application de l'art. 45 Cst (consid. 1). 3. Cas où la jurisprudence a contraint l'autorité cantonale à tolérer en fait une personne qui n'avait pas droit à l'établissement. Hypothèse où un citoyen à qui l'on a refusé l'établissement est néanmoins toléré parce que l'Etat assume l'obligation d'assistance en lieu et place de la communauté publique qui en a normalement la charge; art. 4 Cst (consid. 2).</w:t>
      </w:r>
    </w:p>
    <w:p>
      <w:r>
        <w:t>Regesto Art. 45 cp. 4 CF. 1. Questo disposto è applicabile al caso di un attinente proveniente da un altro Cantone (e che si reca in un comune che non è tenuto ad assisterlo). 2. Il trascorrere del tempo non modifica in sé le condizioni d'applicazione dell'art. 45 CF (consid. 1). 3. Caso in cui l'autorità cantonale era tenuta, secondo la giurisprudenza del Tribunale federale, a tollerare di fatto una persona che non aveva diritto al domicilio. Ipotesi secondo cui un cittadino al quale è stato rifiutato il domicilio è nondimeno tollerato perchè lo Stato assume l'obbligo d'assistenza in vece e luogo della comunità pubblica a cui tale onere incombe normalmente; art. 4 CF (consid. 2).</w:t>
      </w:r>
    </w:p>
    <w:p>
      <w:pPr>
        <w:pStyle w:val="Heading2"/>
      </w:pPr>
      <w:r>
        <w:t>Erwägungen</w:t>
      </w:r>
    </w:p>
    <w:p>
      <w:r>
        <w:rPr>
          <w:b/>
        </w:rPr>
        <w:t>E. 1</w:t>
      </w:r>
    </w:p>
    <w:p>
      <w:r>
        <w:t>Dans les cantons où existe l'assistance au domicile (tel Fribourg: arrêt Werro du 3 décembre 1958), l'autorisation BGE 87 I 42 S. 45 de s'établir peut être subordonnée, s'il s'agit de ressortissants du canton, à la condition qu'ils soient en état de travailler et qu'ils ne soient pas tombés, à leur ancien domicile dans le canton d'origine, d'une manière permanente à la charge de la bienfaisance publique (art. 45 al. 4 Cst.). Le Conseil d'Etat du canton de Fribourg a invoqué cette disposition pour refuser l'établissement sollicité par le recourant. Le Tribunal fédéral examine librement s'il l'a violée, sans être limité par les motifs du recours (RO 83 I 13). Il n'est pas contesté que le recourant est tombé de manière durable à la charge de l'assistance publique, tant à Genève qu'à Fribourg. S'il était domicilié à Genève avant son retour à Fribourg, il n'a pas droit à l'établissement dans cette dernière ville en vertu de la disposition constitutionnelle fédérale (RO 60 I 86/87), car il ne conteste pas qu'il n'était pas capable de travailler et se trouvait en permanence, pour cette raison, à la charge de la bienfaisance publique. Certes, d'après l'arrêt cité, la Ville de Fribourg aurait refusé à tort le permis si elle était tenue, avant le départ pour Genève, d'assister le recourant. C'est une question de droit cantonal que la décision attaquée résout. Selon le Conseil d'Etat, le domicile civil de Fribourg ne peut être considéré comme domicile d'assistance (art. 10 de la loi d'assistance) que si l'autorité a autorisé l'établissement, formellement ou tacitement; tel n'est pas le cas en l'espèce (voir RO 53 I 202, 60 I 421). A son arrivée de Genève, le recourant ne pouvait donc prétendre ni à l'assistance (d'après le droit cantonal), ni, par conséquent, à l'établissement (d'après le droit fédéral) dans la Commune de Fribourg. Si au contraire, comme il l'affirme, son domicile civil était resté dans cette ville, malgré le séjour à Genève, le Conseil communal pouvait, dans ce cas, s'en tenir à la décision de 1952, aucun fait nouveau n'ayant changé la situation sur laquelle s'était fondé le premier refus, dans la mesure où celui-ci reposait sur l'application de l'art. 45 al. 4 Cst. L'écoulement du temps ne modifie pas, en soi et à lui seul, les conditions BGE 87 I 42 S. 46 d'application de l'art. 45 Cst. (RO 51 I 120 ; 60 I 423 ). La Commune de Fribourg n'eût été obligée de reviser son attitude que si le recourant n'avait plus besoin de recourir à l'assistance publique (voir RO 71 I 12 ; 62 I 69 ).</w:t>
      </w:r>
    </w:p>
    <w:p>
      <w:r>
        <w:rPr>
          <w:b/>
        </w:rPr>
        <w:t>E. 2</w:t>
      </w:r>
    </w:p>
    <w:p>
      <w:r>
        <w:t>Encore qu'il ne vise directement que la requête tendant à l'octroi d'un permis d'établissement - et que dès lors le présent arrêt soit suffisamment fondé par les considérations qui précèdent -, le Conseil d'Etat confirme une décision de la Ville de Fribourg dont les motifs laissent clairement entendre que celle-ci se réserve le droit d'expulser le recourant ou, à tout le moins, veut l'empêcher de créer une situation de fait, comme après 1952. Cette position de l'autorité appelle quelques observations. Le Tribunal fédéral a contraint, dans certains cas, l'autorité cantonale à tolérer en fait le séjour ou à renoncer à l'expulsion. Ainsi, le canton qui ne retire pas l'établissement à un individu pendant de longues années bien qu'il sache en avoir le droit à raison de condamnations réitérées de cet individu pour des délits graves, renonce à se prévaloir de ce motif (RO 71 I 148). En thèse générale, lorsque l'autorité cantonale, tout en sachant qu'une personne ne jouit pas, pour telle ou telle raison, du droit d'établissement, le lui accorde néanmoins ou renonce à le lui retirer, elle ne peut faire état du motif, plus tard, pour révoquer ou retirer, sans autre, l'autorisation de s'établir, quand bien même les circonstances n'impliquent pas une renonciation à s'en prévaloir (RO 53 I 202/203). Cette jurisprudence se rapporte à l'art. 45 al. 3 Cst. et plus spécialement au cas de condamnations pour délits graves (sauf une allusion à l'al. 2: RO 53 I 203). Elle ne vise pas, en outre, l'hypothèse où un citoyen à qui l'on a refusé l'établissement ou que l'on a expulsé est néanmoins toléré en fait, et sans qu'on lui impose des conditions (contrairement au cas Abbt, RO 42 I 302); la question n'est que soulevée dans l'arrêt Graber (RO 60 I 422 en bas). Il ne fait guère de doute, cependant, que la situation est analogue lorsqu'il s'agit d'appliquer l'art. 45 BGE 87 I 42 S. 47 al 4 Cst. à un citoyen que l'on a longtemps toléré (in casu de 1952 à 1959), après lui avoir refusé le permis. Que l'autorité ait ainsi renoncé à sa mesure ou non, elle ne saurait, sans violer l'art. 4 Cst. (cf. RO 42 I 302), se départir de son attitude tolérante que si des faits nouveaux se produisent qui revêtent assez de gravité pour justifier une expulsion fondée sur l'ancien motif (RO 53 I 203). La raison qui a convaincu la commune de Fribourg de tolérer en fait le recourant, c'est manifestement l'assistance accordée par l'Etat en lieu et place de la communauté publique chargée de ce soin par la législation cantonale et l'assurance que la présence du recourant n'entraînera aucune obligation pour la ville; sans appliquer rigoureusement l'art. 45 al. 4 Cst. (en procédant à l'expulsion), celle-ci parvenait au but que cette disposition vise, soit éviter qu'un droit à l'assistance naisse en raison de l'établissement ou du domicile: elle refusait l'établissement, mais tolérait en fait le recourant tant que l'Etat pourvoyait à son entretien. Cette situation durera encore deux ans au moins, vu les déclarations du chef du service cantonal de l'assistance. Durant cette période, respectivement tant que l'Etat assistera le recourant, la commune de Fribourg n'a pas de motif de ne plus tolérer ce dernier (sous l'angle du cas d'assistance du moins). Seule la fin des secours cantonaux constituerait une raison valable.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