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87 I 388</w:t>
      </w:r>
    </w:p>
    <w:p>
      <w:r>
        <w:t>Bundesgericht (BGE), 1961-01-01, IT</w:t>
      </w:r>
    </w:p>
    <w:p>
      <w:r>
        <w:rPr>
          <w:b/>
        </w:rPr>
        <w:t xml:space="preserve">Quelle: </w:t>
      </w:r>
      <w:r>
        <w:t>https://mcp.opencaselaw.ch/entscheid/bge_BGE_87_I_388</w:t>
      </w:r>
    </w:p>
    <w:p>
      <w:r>
        <w:t>FR: ATF 87 I 388</w:t>
      </w:r>
    </w:p>
    <w:p>
      <w:r>
        <w:t>IT: DTF 87 I 388</w:t>
      </w:r>
    </w:p>
    <w:p>
      <w:pPr>
        <w:pStyle w:val="Heading2"/>
      </w:pPr>
      <w:r>
        <w:t>Regeste</w:t>
      </w:r>
    </w:p>
    <w:p>
      <w:r>
        <w:t>Regeste Art. 89 Abs. 2, Satz 2 WStB. 1. Der Steuerpflichtige kann den Abzug einer Schuld und der darauf entfallenden Zinsen von den Steuerfaktoren nicht beanspruchen, wenn er den Gläubiger nicht nennt (Erw. 2). 2. Die zitierte Vorschrift erlaubt jedoch nicht, eine Schuld, die der Steuerpflichtige deklariert hat, ohne den Gläubiger zu nennen, bei der Veranlagung in jeder Beziehung als nicht bestehend zu betrachten (Erw. 3).</w:t>
      </w:r>
    </w:p>
    <w:p>
      <w:r>
        <w:t>Regeste Art. 89 al. 2, seconde phrase AIN. 1. Le contribuable qui viole son obligation d'indiquer le nom de son créancier n'a pas le droit d'exiger que la dette soit dédulte des éléments imposables. (Consid. 2). 2. La disposition précitée ne permet cependant pas de considérer, à tous égards, comme inexistante du point de vue de la taxation, la dette que le contribuable a déclarée sans nommer son créancier. (Consid. 3).</w:t>
      </w:r>
    </w:p>
    <w:p>
      <w:r>
        <w:t>Regesto Art. 89 cpv. 2, seconda frase, DIN. 1. Il contribuente che trasgredisce il suo dovere di indicare il nome del creditore non ha diritto di esigere la deduzione del suo debito dai suoi fattori imponibili (Consid. 2). 2. La suindicata disposizione non permette tuttavia di considerare come inesistente, ad ogni effetto di accertamento fiscale, un debito dichiarato da un contribuente senza indicare il nome del creditore (consid. 3).</w:t>
      </w:r>
    </w:p>
    <w:p>
      <w:pPr>
        <w:pStyle w:val="Heading2"/>
      </w:pPr>
      <w:r>
        <w:t>Erwägungen</w:t>
      </w:r>
    </w:p>
    <w:p>
      <w:r>
        <w:rPr>
          <w:b/>
        </w:rPr>
        <w:t>E. 1</w:t>
      </w:r>
    </w:p>
    <w:p>
      <w:r>
        <w:t>Il risultato della suesposta deposizione testimoniale permette di considerare perlomeno come verosimile la tesi del prestito. Questa costatazione è suffragata anche dalla circostanza che il parziale rimborso del debito verso BGE 87 I 388 S. 392 la CAFSF è stato effettuato su richiesta della creditrice. Comunque, la CCR non pretende che A. abbia sicuramente impiegato capitali propri effettuando il parziale rimborso del mutuo, ma afferma che il rifiuto di indicare la provenienza di detti capitali legittima l'autorità ad imporli sulla partita del contribuente. Questi potrebbe dimostrare che i relativi mezzi provengono da terzi solo indicando il nome del creditore. A sostegno della sua tesi, la CCR si riferisce alla giurisprudenza stabilita in applicazione dell'art. 89 cpv. 2, seconda frase, DIN. Successivamente, preso atto dell'audizione testimoniale e del preavviso dell'AFC, la CCR ha aggiunto di non essersi "trincerata unicamente ed esclusivamente dietro la circostanza che il contribuente non avrebbe voluto indicare il nome del suo finanziatore", ma è chiaro che la decisione impugnata si impernia sulla validità della suesposta presunzione e che si riferisce ad altre considerazioni in modo meramente abbondanziale.</w:t>
      </w:r>
    </w:p>
    <w:p>
      <w:r>
        <w:rPr>
          <w:b/>
        </w:rPr>
        <w:t>E. 2</w:t>
      </w:r>
    </w:p>
    <w:p>
      <w:r>
        <w:t>L'art. 89 cpv. 2, seconda frase, DIN prescrive che il contribuente, a richiesta dell'autorità di tassazione, deve produrre particolarmente un elenco dei debiti in cui sono indicati i creditori. La giurisprudenza ne ha dedotto che il contribuente, il quale trasgredisce il suo dovere di indicare il nome del creditore, perde il diritto di esigere la deduzione del suo debito e dei relativi interessi dai suoi fattori imponibili. In tal senso, il Tribunale federale si è già espresso in applicazione dell'art. 56 cpv. 2 DCF concernente il sacrificio per la difesa nazionale, statuendo che l'autorità fiscale può validamente rifiutare la deduzione di un debito, qualora il contribuente non dichiari il nome del creditore (RU 68 I 196). Anche in applicazione dell'art. 17 DSN II, che faceva richiamo all'art. 89 DIN, è stato statuito che il contribuente il quale non soddisfa al suesposto suo obbligo legale, non può lagnarsi se non è messo al beneficio della deduzione dei debiti (Arch. 18, 26). Il relativo principio è stato ribadito anche nei confronti del contribuente che detiene un valore BGE 87 I 388 S. 393 per conto di un terzo (proprietà fiduciaria), di cui si rifiuta di indicare il nome. Il detentore deve pagare l'imposta su questo valore come se si trattasse di sua proprietà (Arch. 24, 481). Infine, la giurisprudenza ha precisato che, qualora il contribuente non indichi il nome del suo creditore, il debito deve essere considerato come inesistente (Arch. 23, 175). Nella sua dichiarazione al 10 gennaio 1955, valida agli effetti dell'VIII periodo, A. ha esposto in fr. 50 829 il suo debito verso la CAFSF, senza pertanto tener conto che nel dicembre 1954 egli aveva rimborsato fr. 40 000 di detto prestito. Ciò facendo, per questa somma, egli ha abusivamente ottenuto una deduzione di debiti che non avrebbe conseguito se avesse correttamente fatto rilevare il parziale rimborso di detto prestito. Il fatto che, contemporaneamente egli abbia eventualmente contratto un nuovo mutuo della ugual somma è irrilevante, perchè in applicazione dei principi suesposti questo nuovo prestito, essendo stato ottenuto da un anonimo, non avrebbe potuto essere dedotto. Ciò stante, l'autorità fiscale era legittimata, fondandosi sull'art. 129 DIN, ad esigere, come ha fatto, dal contribuente un'imposta suppletoria sui fattori abusivamente sottratti all'imponibile dell'VIII periodo ed inoltre ad infliggergli una multa proporzionale. Per quanto concerne la tassazione suppletoria e la multa dell'VIII periodo, il ricorso deve pertanto essere respinto.</w:t>
      </w:r>
    </w:p>
    <w:p>
      <w:r>
        <w:rPr>
          <w:b/>
        </w:rPr>
        <w:t>E. 3</w:t>
      </w:r>
    </w:p>
    <w:p>
      <w:r>
        <w:t>Tuttavia il principio suesposto, che è dedotto dall'art. 89 cpv. 2, seconda frase, DIN, concerne solo la deducibilità del debito e non il relativo accertamento ad ogni effetto fiscale. La tassazione suppletoria per il VII periodo, non concerne come quella dell'VIII periodo l'abusivo conseguimento della deducibilità di un debito, ma l'accertamento del capitale di fr. 40 000, impiegato dal contribuente alla fine del 1954 per il parziale pagamento del debito verso la CAFSF. L'autorità di tassazione, imponendo questo BGE 87 I 388 S. 394 capitale per il VII periodo, ha ritenuto che il medesimo appartenesse al contribuente già alla data determinante del 10 gennaio 1953. Ma non ha effettuato un vero accertamento e non ha tenuto alcun conto della giustificazione addotta dal contribuente, secondo cui il pagamento sarebbe stato effettuato mediante il ricavo di un nuovo prestito concessogli da un anonimo creditore. A questo riguardo, essa ha dichiarato che tale prestito doveva essere presunto come inesistente. Ora una siffatta presunzione non può essere dedotta nè dall'art. 89, nè da altra disposizione in concreto applicabile. La giurisprudenza ha infatti precisato che, l'inammissibilità della deduzione di un debito verso un anonimo a'sensi dell'art. 89 cpv. 2 DIN, fondata sulla costatazione che non è possibile di accertarne con sicurezza l'esistenza, non consente di escludere che il debito esista realmente (Arch. 29, 83 consid. 1). In realtà, la CCR si è fondata unicamente sulla presunzione suesposta. Su questo punto, la sua decisione è pertanto erronea. Ci si potrebbe tuttavia chiedere se - come pretende la CCR nella sua lettera del 19 gennaio 1961 - altri elementi permettano di stabilire che il contribuente abbia disposto in proprio del capitale di fr. 40 000 già il 10 gennaio 1953. A tale conclusione si oppongono le risultanze dell'istruttoria che hanno reso sufficientemente verosimile l'ipotesi del prestito conseguito da un anonimo. Ma anche se tale ipotesi dovesse considerarsi non provata, non si potrebbe tuttavia ammettere che gli elementi addotti dall'autorità fiscale siano sufficienti a far concludere che il contribuente era proprietario del capitale in questione alla data del 10 gennaio 1953. Ciò stante e vista la posizione assunta dalla CCR con lettera 19 maggio 1961 al Giudice delegato, non v'è ragione di accogliere la proposta dell'AFC tendente a rimandare gli atti all'autorità cantonale per nuovo giudizio, ma si giustifica di annullare puramente e semplicemente la tassazione suppletoria concernente il VII periodo e naturalmente anche la relativa muta. BGE 87 I 388 S. 395</w:t>
      </w:r>
    </w:p>
    <w:p>
      <w:r>
        <w:rPr>
          <w:b/>
        </w:rPr>
        <w:t>E. 4</w:t>
      </w:r>
    </w:p>
    <w:p>
      <w:r>
        <w:t>È pacifico che, per il IX periodo, A. ha correttamente dichiarato i suoi debiti, senza tener conto dell'asserito prestito di fr. 40 000 verso un creditore anonimo e che non è stato fatto carico al contribuente di altri tentativi di sottrazione d'imposta. Per quanto concerne questo periodo il provvedimento impugnato deve pertanto fondarsi su un errore. Del resto, anche la CCR, nella sua lettera del 19 maggio 1961, ha ammesso che la multa a questo proposito inflitta doveva considerarsi infondata e come non dovuta. L'impugnata decisione deve perciò essere annullata anche su questo punto.</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