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250</w:t>
      </w:r>
    </w:p>
    <w:p>
      <w:r>
        <w:t>Bundesgericht (BGE), 1961-03-08, DE</w:t>
      </w:r>
    </w:p>
    <w:p>
      <w:r>
        <w:rPr>
          <w:b/>
        </w:rPr>
        <w:t xml:space="preserve">Quelle: </w:t>
      </w:r>
      <w:r>
        <w:t>https://mcp.opencaselaw.ch/entscheid/bge_BGE_87_I_250</w:t>
      </w:r>
    </w:p>
    <w:p>
      <w:r>
        <w:t>FR: ATF 87 I 250</w:t>
      </w:r>
    </w:p>
    <w:p>
      <w:r>
        <w:t>IT: DTF 87 I 250</w:t>
      </w:r>
    </w:p>
    <w:p>
      <w:pPr>
        <w:pStyle w:val="Heading2"/>
      </w:pPr>
      <w:r>
        <w:t>Regeste</w:t>
      </w:r>
    </w:p>
    <w:p>
      <w:r>
        <w:t>Regeste Kantonales Steuerrecht, Willkür. Bei Prüfung der sich nach § 18 Abs. 1 lit. d des aargauischen StG stellenden Vorfrage, ob das Unternehmen des Steuerpflichtigen zur Eintragung ins Handelsregister verpflichtet sei, dürfen die Steuerbehörden nicht von der eindeutigen Rechtsprechung des Bundesgerichts in Registersachen abweichen.</w:t>
      </w:r>
    </w:p>
    <w:p>
      <w:r>
        <w:t>Regeste Droit fiscal cantonal, arbitraire. Lorsqu'elles examinent la question préjudicielle qui se pose d'après l'art. 18 al. 1 litt. d de la loi argovienne d'impôt, et qui est de savoir si l'entreprise du contribuable doit être inscrite au registre du commerce, les autorités fiscales ne peuvent pas s'écarter de la jurisprudence claire rendue par le Tribunal fédéral en matière de registres.</w:t>
      </w:r>
    </w:p>
    <w:p>
      <w:r>
        <w:t>Regesto Diritto fiscale cantonale, arbitrio. Nell'esaminare la questione pregiudiziale che si pone a'sensi dell'art. 18 cpv. 1 lett. d della legge tributaria argoviese e che consiste nello stabilire se l'impresa del contribuente debba essere iscritta nel registro di commercio, le autorità fiscali non possono scostarsi dalla chiara giurisprudenza che il Tribunale federale ha stabilito in materia di registri.</w:t>
      </w:r>
    </w:p>
    <w:p>
      <w:pPr>
        <w:pStyle w:val="Heading2"/>
      </w:pPr>
      <w:r>
        <w:t>Erwägungen</w:t>
      </w:r>
    </w:p>
    <w:p>
      <w:r>
        <w:rPr>
          <w:b/>
        </w:rPr>
        <w:t>E. 2</w:t>
      </w:r>
    </w:p>
    <w:p>
      <w:r>
        <w:t>§ 18 Abs. 1 lit. d des aargauischen StG unterwirft Kapitalgewinne, die im Betriebe eines zur Führung kaufmännischer Bücher verpflichteten Unternehmens erzielt worden sind, der Einkommenssteuer. Der kantonale Steuergesetzgeber hat dergestalt darauf verzichtet, den Kreis der Steuerpflichtigen, die Kapitalgewinne als Einkommen zu versteuern haben, selbständig zu umschreiben. Er knüpft diese steuerrechtliche Folge vielmehr an einen Sachverhalt, der in einem andern Rechtsgebiet gründet: daran nämlich, dass das Unternehmen zur Führung kaufmännischer Bücher verpflichtet ist. Dieser Pflicht ist nach Art. 957 OR unterworfen, wer gehalten ist, seine Firma in das Handelsregister eintragen zu lassen. Wer zu dieser Eintragung verpflichtet ist, besagen die Art. 934 und 935 OR , die in den Art. 52 bis 56 HRV näher ausgeführt werden. Für die gleichmässige Auslegung und Anwendung dieser Vorschriften hat in letzter Linie die erste Zivilabteilung des Bundesgerichts (Art. 5 Ziff. 4 des Bundesgerichtsreglements) als frei entscheidende ( Art. 104, 105 OG ) Beschwerdeinstanz zu sorgen (Art. 5 HRV, Art. 99 Ziff. I lit. b OG ). Weil das Steuergesetz die Buchführungspflicht als vorgegeben hinnimmt, haben die Steuerbehörden bei der Anwendung von § 18 Abs. 1 lit. d StG nicht zu untersuchen, ob sie selber den Steuerpflichtigen auf Grund der einschlägigen Normen des OR und der HRV als eintragungs- und mithin buchführungspflichtig erklären würden; sie haben vielmehr lediglich zu prüfen, ob die zuständigen Registerbehörden die Eintragungspflicht des betreffenden Unternehmens bejahen würden. Da die Registerbehörden sich nach der höchstrichterlichen Rechtsprechung in Registersachen ausrichten, dürfen sich die Steuerbehörden ihrerseits bei der Beantwortung dieser Vorfrage nicht über die eindeutige Praxis des Bundesgerichts hinwegsetzen. Die gegenteilige Stellungnahme des BGE 87 I 250 S. 254 Obergerichts lässt sich deshalb schlechthin nicht vertreten. Die Verhältnisse liegen insofern wesentlich anders als in den in BGE 71 I 229 und BGE 73 I 188 behandelten Fällen, in denen die kantonalen Behörden zur selbständigen Handhabung eidgenössischer (bzw. inhaltlich gleicher kantonaler) Rechtssätze berufen waren.</w:t>
      </w:r>
    </w:p>
    <w:p>
      <w:r>
        <w:rPr>
          <w:b/>
        </w:rPr>
        <w:t>E. 3</w:t>
      </w:r>
    </w:p>
    <w:p>
      <w:r>
        <w:t>Die erste Zivilkammer des Bundesgerichts hat in BGE 75 I 78 Grundsätze für die Beurteilung der Eintragungspflicht einer Gattung von Unternehmen entwickelt, der auch der Betrieb des Beschwerdeführers angehört. Die verwaltungsrechtliche Kammer des Bundesgerichts hat in Übereinstimmung mit der ersten Zivilabteilung diese Grundsätze in der Rechtsprechung zu dem § 18 Abs. 1 lit. d StG entsprechenden Art. 21 Abs. 1 lit. d WStB näher ausgeführt (ASA Bd. 21 S. 77, 431, Bd. 22 S. 34, Bd. 24 S. 484, Bd. 26 S. 438, 442). Das Obergericht bestreitet mit Recht nicht, dass das Unternehmen des Beschwerdeführers nach diesen Grundsätzen nicht eintragungspflichtig war, und dass er demgemäss keine kaufmännischen Bücher zu führen hatte. Es fehlt infolgedessen an der in § 18 Abs. 1 lit. d StG aufgestellten subjektiven Voraussetzung für die Besteuerung des Liquidationsgewinns. Der gegenteilige Schluss des Obergerichts lässt sich daher nicht halten; sein Entscheid ist, weil willkürlich und damit verfassungswidrig,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