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213</w:t>
      </w:r>
    </w:p>
    <w:p>
      <w:r>
        <w:t>Bundesgericht (BGE), 1961-07-05, DE</w:t>
      </w:r>
    </w:p>
    <w:p>
      <w:r>
        <w:rPr>
          <w:b/>
        </w:rPr>
        <w:t xml:space="preserve">Quelle: </w:t>
      </w:r>
      <w:r>
        <w:t>https://mcp.opencaselaw.ch/entscheid/bge_BGE_87_I_213</w:t>
      </w:r>
    </w:p>
    <w:p>
      <w:r>
        <w:t>FR: ATF 87 I 213</w:t>
      </w:r>
    </w:p>
    <w:p>
      <w:r>
        <w:t>IT: DTF 87 I 213</w:t>
      </w:r>
    </w:p>
    <w:p>
      <w:pPr>
        <w:pStyle w:val="Heading2"/>
      </w:pPr>
      <w:r>
        <w:t>Regeste</w:t>
      </w:r>
    </w:p>
    <w:p>
      <w:r>
        <w:t>Regeste Art. 88 OG. Die Neufestsetzung der Gemeindegrenzen kann von der Gemeinde nicht mit staatsrechtlicher Beschwerde angefochten werden.</w:t>
      </w:r>
    </w:p>
    <w:p>
      <w:r>
        <w:t>Regeste Art. 88 OJ. Une commune n'a pas qualité pour attaquer par la voie du recours de droit public une décision fixant les nouvelles limites de son territoire.</w:t>
      </w:r>
    </w:p>
    <w:p>
      <w:r>
        <w:t>Regesto Art. 88 OG. Il comune non ha qualità per interporre ricorso di diritto pubblico contro una decisione cantonale che stabilisce i limiti del territorio comunale.</w:t>
      </w:r>
    </w:p>
    <w:p>
      <w:pPr>
        <w:pStyle w:val="Heading2"/>
      </w:pPr>
      <w:r>
        <w:t>Erwägungen</w:t>
      </w:r>
    </w:p>
    <w:p>
      <w:r>
        <w:rPr>
          <w:b/>
        </w:rPr>
        <w:t>E. 1</w:t>
      </w:r>
    </w:p>
    <w:p>
      <w:r>
        <w:t>Die staatsrechtliche Beschwerde richtet sich gegen den Entscheid des Regierungsrates des Kantons St. Gallen vom 10./17. Mai 1961, mit dem dieser die Gemeindegrenze zwischen Sargans und Mels, Gebiet Hinteres Chastels bis zum Chlifeld gemäss besonderem Plan 1: 5000 des kantonalen Meliorations- und Vermessungsamtes vom 10. Mai 1961 neu festgesetzt hat. Es wird beantragt, den Entscheid aufzuheben, weil er Art. 4 BV (das Verbot der Gehörsverweigerung und der Willkür) verletze, und die Sache zu neuer Entscheidung an die kantonalen Instanzen zurückzuweisen.</w:t>
      </w:r>
    </w:p>
    <w:p>
      <w:r>
        <w:rPr>
          <w:b/>
        </w:rPr>
        <w:t>E. 2</w:t>
      </w:r>
    </w:p>
    <w:p>
      <w:r>
        <w:t>Als Rechtsmittel zum Schutze des Einzelnen gegen Übergriffe der öffentlichen Gewalt in verfassungsmässige Rechte steht die staatsrechtliche Beschwerde physischen und juristischen Personen zu. Die Gemeinde ist als öffentlich-rechtlicher Verband zur Beschwerde nur befugt, wenn sie in ihrer Autonomie verletzt ist, d.h. in einem Recht, das die Rechtsprechung einem verfassungsmässigen Recht des Bürgers gleichstellt, oder wenn ihr Bestand in Frage gestellt wird, schliesslich überhaupt immer dann, wenn der angefochtene Entscheid sie in gleicher oder ähnlicher Weise trifft wie eine Privatperson ( BGE 74 I 52 , BGE 83 I 121 , 268; nicht publiziertes Urteil vom 18. Mai 1960 i.S. Gemeinde Ober-Ems; BIRCHMEIER, Über die Legitimation des Staates, der Gemeinde und der Behörden zur staatsrechtlichen Beschwerde an das Bundesgericht, Zentralblatt Bd. 51, 121 ff.). Eine Verletzung der Gemeindeautonomie wird in der Beschwerde nicht behauptet. Der Entscheid, mit dem die Gemeindegrenzen bereinigt werden, trifft die Gemeinde auch nicht in gleicher oder ähnlicher Weise, wie der Private durch eine Bereinigung seiner Grundstücke betroffen würde. Er grenzt das Gebiet von zwei koordinierten öffentlichen Gewalten gegeneinander ab und trifft die beteiligten Gemeinwesen als Träger herrschaftlicher Gewalt, nicht als Inhaber privater Rechte. Es ist nicht behauptet, der Entscheid teile der Gemeinde Mels selbst gehörendes Land der BGE 87 I 213 S. 215 Nachbargemeinde Sargans zu. In derartigen Fällen hat daher die neuere Praxis die Legitimation der Gemeinde zur Anfechtung einer Grenzbereinigung verneint (Urteil vom 6. Februar 1947 i.S. Munizipalgemeinde Tägerwilen). Von einer Verletzung der Bestandesgarantie der Gemeinde könnte aber nur gesprochen werden, wenn entweder wesentliche Teile des Gemeindegebietes oder der Gemeindebevölkerung ohne Ersatz abgetrennt und einer andern Gemeinde zugeteilt würden. Das trifft hier nicht zu. Der Regierungsrat stellt ausdrücklich fest, und es ist nicht bestritten, dass sogar unter dem Gesichtspunkt des Kulturlandes ein flächenmässiger Ausgleich stattfindet. Dass ein Teil der bisherigen Einwohner der Beschwerdeführerin nunmehr zu Sargans gehören werde, ist nicht behauptet und träfe nach dem Plan des Meliorationsamtes auch nicht zu. Ebenso ist nicht geltend gemacht, dass die Gemeinde durch den Austausch überhaupt oder sogar ein nennenswertes Steuerkapital verliere. Ist aber der Bestand der Gemeinde nicht in Frage gestellt, sondern handelt es sich um eine ausgesprochene Grenzregulierung, so fehlt der Gemeinde die Legitimation.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