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172</w:t>
      </w:r>
    </w:p>
    <w:p>
      <w:r>
        <w:t>Bundesgericht (BGE), 1961-01-01, DE</w:t>
      </w:r>
    </w:p>
    <w:p>
      <w:r>
        <w:rPr>
          <w:b/>
        </w:rPr>
        <w:t xml:space="preserve">Quelle: </w:t>
      </w:r>
      <w:r>
        <w:t>https://mcp.opencaselaw.ch/entscheid/bge_BGE_87_I_172</w:t>
      </w:r>
    </w:p>
    <w:p>
      <w:r>
        <w:t>FR: ATF 87 I 172</w:t>
      </w:r>
    </w:p>
    <w:p>
      <w:r>
        <w:t>IT: DTF 87 I 172</w:t>
      </w:r>
    </w:p>
    <w:p>
      <w:pPr>
        <w:pStyle w:val="Heading2"/>
      </w:pPr>
      <w:r>
        <w:t>Regeste</w:t>
      </w:r>
    </w:p>
    <w:p>
      <w:r>
        <w:t>Regeste Staatsrechtliche Beschwerde aus Art. 4 BV gegen Zwischentscheide (Art. 87 OG). Zulässigkeit der Beschwerde gegen einen Entscheid, mit dem eine Steuerrekursbehörde eine Sache in Gutheissung eines Wiedererwägungsgesuchs des Fiskus an die untere Instanz zurückweist, soweit mit der Beschwerde die Zulässigkeit des Wiedererwägungsgesuchs angefochten wird (Erw. 2). Revision von kantonalen Steuerentscheiden. Art. 4 BV. Unter welchen Voraussetzungen dürfen Steuerrekursbehörden ohne gesetzliche Grundlage auf Wiedererwägungsgesuche des Fiskus gegen ihre Entscheide eintreten und diese zum Nachteil des Steuerpflichtigen abändern? (Erw. 3).</w:t>
      </w:r>
    </w:p>
    <w:p>
      <w:r>
        <w:t>Regeste Recours de droit public formé pour violation de l'art. 4 Cst. contre des jugements incidents (art. 87 OJ). Lorsqu'une autorité de recours en matière d'impôt admet une demande de reconsidération du fisc et renvoie l'affaire à une autorité inférieure, sa décision peut faire l'objet d'un recours de droit public pour violation de l'art. 4 Cst. dans la mesure où le recourant conteste que la voie de la demande de reconsidération ait été ouverte (consid. 2). Revision de décisions cantonales en matière d'impôt. Art. 4 Cst. Dans quels cas les autorités de recours en matière d'impôt sont-elles autorisées, en l'absence de base légale, à se saisir de demandes de reconsidération formées par le fisc contre leurs décisions et à modifier celles-ci au détriment du contribuable? (Consid. 3).</w:t>
      </w:r>
    </w:p>
    <w:p>
      <w:r>
        <w:t>Regesto Ricorso di diritto pubblico per violazione dell'art. 4 CF contro decisioni incidentali (art. 87 OG). La decisione di un'autorità di ricorso in materia d'imposte che, accogliendo una domanda di riesame proposta dal fisco, rinvia la causa a un'autorità inferiore, può costituire oggetto di un ricorso di diritto pubblico per violazione dell'art. 4 CF, nella misura in cui il ricorrente contesti l'ammissibilità della domanda di riesame (consid. 2). Revisione di decisioni cantonali in materia d'imposte. Art. 4 CF. In quali casi le autorità di ricorso in materia d'imposte sono autorizzate, difettando la base legale, a entrare nel merito di domande di riesame presentate dal fisco contro le loro decisioni e a modificarle a detrimento del contribuente? Consid. 3.</w:t>
      </w:r>
    </w:p>
    <w:p>
      <w:pPr>
        <w:pStyle w:val="Heading2"/>
      </w:pPr>
      <w:r>
        <w:t>Erwägungen</w:t>
      </w:r>
    </w:p>
    <w:p>
      <w:r>
        <w:rPr>
          <w:b/>
        </w:rPr>
        <w:t>E. 1</w:t>
      </w:r>
    </w:p>
    <w:p>
      <w:r>
        <w:t>§ 4 luzern. KV stimmt inhaltlich mit Art. 4 BV überein. Die Berufung auf § 4 KV hat daher neben der Rüge der Verletzung des Art. 4 BV keine selbständige Bedeutung. BGE 87 I 172 S. 177</w:t>
      </w:r>
    </w:p>
    <w:p>
      <w:r>
        <w:rPr>
          <w:b/>
        </w:rPr>
        <w:t>E. 2</w:t>
      </w:r>
    </w:p>
    <w:p>
      <w:r>
        <w:t>Der Regierungsrat hat die von den Beschwerdeführern strafweise zu entrichtende Handänderungsgebühr im angefochtenen Entscheid endgültig auf Fr. 1'741.20 festgesetzt. Inbezug auf diese Abgabe ist der angefochtene Entscheid somit ein letztinstanzlicher Endentscheid, gegen den gemäss Art. 87 OG die staatsrechtliche Beschwerde wegen Verletzung von Art. 4 BV zulässig ist. Dagegen beendigt der angefochtene Entscheid das Verfahren nicht, soweit es sich um die Wertzuwachssteuer handelt. Der Regierungsrat hat mit diesem Entscheid, wie schon mit demjenigen vom 9. November 1959, die Angelegenheit zur nochmaligen Festsetzung dieser Abgabe an den Gemeinderat zurückgewiesen und lediglich die im früheren Entscheid enthaltene verbindliche Feststellung über die Höhe des verheimlichten Kaufpreises berichtigt. Inbezug auf die Wertzuwachssteuer liegt also ein Zwischenentscheid vor, sodass sich die Frage erhebt, ob und gegebenenfalls inwieweit er schon heute wegen Verletzung von Art. 4 BV angefochten werden kann. Die früher in der Praxis angenommene und nun in Art. 87 OG enthaltene Beschränkung der selbständigen Anfechtung von Zwischenentscheiden wegen Verletzung des Art. 4 BV gilt nach der Rechtsprechung nicht für alle Entscheide, die im Laufe eines Verfahrens ergehen und sich äusserlich als Zwischenentscheide darstellen. Nicht unter Art. 87 OG fallen Entscheide über die Zusammensetzung des Gerichts ( BGE 69 I 16 mit Verweisungen) sowie solche über die sachliche oder örtliche Zuständigkeit (BIRCHMEIER, Handbuch des OG S. 354, nicht veröffentl. Urteile vom 2. November 1949 i.S. Einwohnergemeinde Kerns Erw. 1 und vom 5. Juli 1950 i.S. Egloff Erw. 2 a. E.). Ferner ist das Bundesgericht auf Beschwerden eingetreten, mit denen im Anschluss an einen Zwischenentscheid über ein ausserordentliches Rechtsmittel dessen Zulässigkeit angefochten wurde, so auf die Beschwerde gegen die Aufhebung eines Kontumazurteils in einer Zivilsache, mit welcher Verspätung des Aufhebungsgesuchs geltend gemacht BGE 87 I 172 S. 178 worden war, sowie auf die Beschwerde gegen einen Rückweisungsentscheid des Zürcher Kassationsgerichts, mit der die Zulässigkeit der Kassationsbeschwerde bestritten wurde (nicht veröffentlichte Urteile vom 14. März 1956 i.S. Nauer Erw. 1 und vom 16. November 1960 i.S. Trillhaase Erw. 2 a). Dementsprechend ist auf die vorliegende Beschwerde auch insoweit einzutreten, als die Beschwerdeführer bezüglich der Wertzuwachssteuer beanstanden, dass der Regierungsrat das Wiedererwägungsgesuch als zulässig betrachtet habe und darauf eingetreten sei. Dies rechtfertigt sich auch noch aus einem weiteren Grunde. Die Frage, ob der Regierungsrat auf das Wiedererwägungsgesuch eintreten durfte, stellt sich vorliegend für die Handänderungsgebühr und die Wertzuwachssteuer genau gleich. Da nun inbezug auf die Handänderungsgebühr ein Endentscheid vorliegt, wäre es ein leerer Formalismus, die Frage nur für diese Abgabe zu entscheiden und die Beschwerdeführer inbezug auf die Wertzuwachssteuer auf die spätere Anfechtung der endgültigen, vom Gemeinderat auf der Grundlage des Wiedererwägungsentscheids vorzunehmenden Veranlagung zu verweisen, selbst wenn gegen diese - nach dem in BGE 86 I 39 Gesagten - unter Übergehung des Regierungsrates unmittelbar staatsrechtliche Beschwerde erhoben werden könnte.</w:t>
      </w:r>
    </w:p>
    <w:p>
      <w:r>
        <w:rPr>
          <w:b/>
        </w:rPr>
        <w:t>E. 3</w:t>
      </w:r>
    </w:p>
    <w:p>
      <w:r>
        <w:t>Die Beschwerdeführer machen nicht nur geltend, der Regierungsrat habe willkürlich das Vorliegen eines Wiedererwägungsgrundes angenommen; sie beanstanden das Eintreten auf das Wiedererwägungsgesuch des Gemeinderates auch deshalb, weil dieses Rechtsmittel in Steuersachen weder der Gemeinde noch dem Gemeinderat, sondern ausschliesslich dem Steuerpflichtigen zustehe. Dieser Einwand wird indes erstmals in der staatsrechtlichen Beschwerde erhoben und ist daher unzulässig, denn bei staatsrechtlichen Beschwerden aus Art. 4 BV sind neue Vorbringen vor Bundesgericht grundsätzlich ausgeschlossen ( BGE 73 I 112 , BGE 84 I 164 ). Das Bundesgericht hat früher die Revision von kantonalen BGE 87 I 172 S. 179 Steuerentscheiden zum Nachteil des Steuerpflichtigen nur zugelassen, wenn und soweit eine gesetzliche Bestimmung sie besonders vorsah. In BGE 78 I 200 wurde diese Praxis im Hinblick auf die Rechtsprechung der verwaltungsrechtlichen Kammer in Bundessteuersachen in dem Sinne eingeschränkt, dass das Zurückkommen auf eine Steuerveranlagung auch zulässig ist beim Bestehen eines Revisionsgrundes, selbst wenn dieser im geschriebenen Rechte nicht vorgesehen ist. Die Beschwerdeführer beanstanden denn auch nicht, dass der Regierungsrat die Wiedererwägung ohne besondere Gesetzesbestimmung auf Grund seiner Praxis als zulässig erachtete. Dagegen machen sie geltend, dass kein Revisionsgrund im Sinne dieser Praxis vorliege und die gegenteilige Annahme willkürlich sei. Nach seiner ständigen Praxis tritt der Regierungsrat des Kantons Luzern, wie er schon vor mehr als 20 Jahren erklärt (vgl. BGE 67 I 73 ) und woran er seither festgehalten hat (Auszug aus den Verhandlungen des Regierungsrates 1943 S. 31, 1945 S. 38, 1950 S. 29, 1951 S. 18), auf Wiedererwägungsgesuche gegen einen von ihm als Rekursinstanz in Steuer- und andern Verwaltungssachen gefällten Entscheid nur ein, wenn der Gesuchsteller ein offensichtliches Versehen oder einen wesentlichen Irrtum im beanstandeten Entscheid geltend macht oder ein Beweismittel vorlegt, das er vorher nicht kannte oder zu beschaffen ausserstande war oder (wie im zuletzt genannten Entscheid beigefügt wurde) dessen Wichtigkeit für den Entscheid nicht zum voraus erkennbar war. Daraus ist zu schliessen, dass die Wiedererwägung nach Luzerner Recht wie andernorts nicht zulässig ist, um lediglich eine abweichende Rechtsauffassung, eine andere rechtliche Würdigung einer beim früheren Entscheid bekannten und berücksichtigten Tatsache zur Geltung zu bringen. Das ergibt sich eindeutig aus dem Entscheid des Regierungsrat vom 31. Oktober 1951 (Auszug 1951 S. 18), wo es heisst: "Die ermessensweise Bewertung von Tatsachen oder die BGE 87 I 172 S. 180 ermessensweise Gesetzesauslegung, auch wenn sie nicht allgemein als richtig anerkannt wird, kann nicht zum Gegenstand eines Wiedererwägungsgesuches gemacht werden. Im Wiedererwägungsverfahren soll nicht lediglich die Diskussion über die Richtigkeit des Entscheides eröffnet werden". Der Gemeinderat Horw machte zur Begründung seines Wiedererwägungsgesuchs geltend, die Annahme des Regierungsrates, der verheimlichte Überpreis betrage nur Fr. 12'000.--, beruhe auf einem offensichtlichen Versehen, da K. den Kaufpreisrest von Fr. 31'530.-- von F. gefordert und "mittels eines Verlustscheins" erhalten habe. Der angefochtene Entscheid schweigt sich über die Frage, ob dem Regierungsrat ein solches Versehen unterlaufen sei, aus, was nichts anderes bedeuten kann, als dass er sie (offenbar mit Recht) verneinte. Er hiess das Wiedererwägungsgesuch deshalb gut, weil der Gemeinderat eine Tatsache geltend gemacht habe, die er zwar früher kannte, von der er aber nicht wusste, dass sie bei der Würdigung des Sachverhaltes durch den Regierungsrat von Bedeutung sein werde. Allein auch dies vermöchte die Wiedererwägung nur zu rechtfertigen, wenn die fragliche Tatsache beim früheren Entscheid dem Regierungsrat unbekannt gewesen und von ihm nicht berücksichtigt worden wäre. Davon kann aber nicht die Rede sein. Das Gemeindedepartement, dem die Sache zur Vorprüfung zugewiesen war, hat der mit dem Wiedererwägungsgesuch aufgeworfenen Frage im Gegenteil besondere Beachtung geschenkt. Es fragte den Anwalt der Beschwerdeführer mit Schreiben vom 13. März 1959 an, ob K. keine weitere Auszahlung als die Fr. 12'000.-- von F. erhalten und ob er nicht von diesem die Überweisung der ganzen Mehrzahlung oder eines Teils derselben verlangt habe, allenfalls mit welchem Erfolg. Hierauf antwortete der Anwalt der Beschwerdeführer am 15. Mai 1959, dass K. nie mehr als Fr. 12'000.-- erhalten habe und dass er zwar seine Mehrforderung geltend gemacht, jedoch von F., der zur Vermeidung eines Zivilprozesses eine Schuldanerkennung über Fr. 40'000.-- BGE 87 I 172 S. 181 ausstellte, nichts als einen Verlustschein bekommen habe. Wenn der Regierungsrat trotz dieser Auskunft angenommen hat, nur der den Verkäufern zugekommene Betrag von Fr. 12'000.-- könne als verheimlichter Kaufpreis gelten und die von F. für sich behaltenen Fr. 31'530.-- fielen ausser Betracht, so kann darin höchstens eine unzutreffende rechtliche Würdigung einer bekannten Tatsache liegen, keinesfalls aber ein offensichtliches Versehen noch ein sonstiger Revisionsgrund. Die vom Regierungsrat vertretene gegenteilige Auffassung ist unhaltbar und willkürlich, weshalb die Beschwerde gutzuheissen und der angefochtene Entscheid wegen Verletzung von Art. 4 BV aufzuheben ist.</w:t>
      </w:r>
    </w:p>
    <w:p>
      <w:r>
        <w:rPr>
          <w:b/>
        </w:rPr>
        <w:t>E. 4</w:t>
      </w:r>
    </w:p>
    <w:p>
      <w:r>
        <w:t>Die Aufhebung des angefochtenen Entscheids hat zur Folge, dass es beim regierungsrätlichen Entscheid vom 9. November 1959 bleibt. Das heisst zunächst, dass die von den Beschwerdeführern strafweise zu entrichtenden Handänderungsgebühren zusammen nur Fr. 480.-- betragen und der Gemeinderat Horw bei der nochmals vorzunehmenden Berechnung der Wertzuwachssteuerbusse den Betrag von Fr. 12'000.-- als verheimlichten Überpreis zu betrachten hat. Ferner folgt daraus, dass auf die weiteren Rügen der Beschwerdeführer, der Regierungsrat habe die Verjährung der Steuerforderungen willkürlich verneint und ihnen willkürrlich die Absicht der Steuerhinterziehung zugeschrieben, nicht einzutreten ist, da sich diese Rügen nur gegen den nun aufgehobenen Entscheid des Regierungsrates vom 2. Februar 1961 richten können, nicht gegen den von den Beschwerdeführern seinerzeit nicht angefochtenen und mit der vorliegenden staatsrechtliche Beschwerde nicht mehr anfechtbaren Entscheid vom 9. November 1959.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