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146</w:t>
      </w:r>
    </w:p>
    <w:p>
      <w:r>
        <w:t>Bundesgericht (BGE), 1961-03-24, FR</w:t>
      </w:r>
    </w:p>
    <w:p>
      <w:r>
        <w:rPr>
          <w:b/>
        </w:rPr>
        <w:t xml:space="preserve">Quelle: </w:t>
      </w:r>
      <w:r>
        <w:t>https://mcp.opencaselaw.ch/entscheid/bge_BGE_87_I_146</w:t>
      </w:r>
    </w:p>
    <w:p>
      <w:r>
        <w:t>FR: ATF 87 I 146</w:t>
      </w:r>
    </w:p>
    <w:p>
      <w:r>
        <w:t>IT: DTF 87 I 146</w:t>
      </w:r>
    </w:p>
    <w:p>
      <w:pPr>
        <w:pStyle w:val="Heading2"/>
      </w:pPr>
      <w:r>
        <w:t>Regeste</w:t>
      </w:r>
    </w:p>
    <w:p>
      <w:r>
        <w:t>Regeste Art. 31 KUVG. Steuerfreiheit der Krankenkassen. Eine zur Anlage von Reserven erworbene Liegenschaft dient nicht unmittelbar dem Betriebe der Versicherung (Erw. 2).</w:t>
      </w:r>
    </w:p>
    <w:p>
      <w:r>
        <w:t>Regeste Art. 31 LAMA. Exemption d'impôts des caisses-maladie. Un immeuble acquis pour placer des réserves n'est pas directement affecté au service de l'assurance (consid. 2).</w:t>
      </w:r>
    </w:p>
    <w:p>
      <w:r>
        <w:t>Regesto Art. 31 LAMI. Esenzione delle casse malati dalle imposte. Un immobile acquistato allo scopo di collocare delle riserve non è direttamente destinato al servizio dell'assicurazione (consid. 2).</w:t>
      </w:r>
    </w:p>
    <w:p>
      <w:pPr>
        <w:pStyle w:val="Heading2"/>
      </w:pPr>
      <w:r>
        <w:t>Erwägungen</w:t>
      </w:r>
    </w:p>
    <w:p>
      <w:r>
        <w:rPr>
          <w:b/>
        </w:rPr>
        <w:t>E. 1</w:t>
      </w:r>
    </w:p>
    <w:p>
      <w:r>
        <w:t>Aux termes de l'art. 111 litt. a OJ, le Tribunal fédéral connaît, en instance unique, des contestations BGE 87 I 146 S. 149 relatives à l'exemption ou à la limitation des contributions cantonales, lorsqu'elles sont prévues par le droit fédéral. L'exonération fiscale prévue par l'art. 31 LAMA était mentionnée à titre d'exemple dans le message du Conseil fédéral du 27 mars 1925, accompagnant le projet de la loi sur la juridiction administrative et disciplinaire, dont l'art. 18 a été repris à l'art. 111 OJ. La présente action entre donc incontestablement dans le cadre d'application de cette disposition légale, mais dans la mesure seulement où le litige concerne les contributions cantonales. Les conclusions de la demanderesse tendant à l'exonération des impôts fédéraux sont irrecevables dans l'action directe prévue à l'art. 111 OJ. Elles pourraient, en revanche, faire l'objet d'un recours de droit administratif (RO 78 I 188 consid. 1). L'action directe de droit administratif prévue à l'art. 111 litt. a OJ peut être ouverte en tout temps, lorsqu'un contribuable estime que l'exigence d'un canton ou d'une commune est contraire à une exemption prévue dans la loi. Il n'est pas nécessaire que le contribuable ait formé un recours et épuisé les instances cantonales: L'action peut tendre seulement à faire constater l'état de droit (RO 67 I 49). Le demandeur doit avoir un intérêt juridique à cette constatation (RO 74 I 442 consid. 3). Dans la mesure où la présente demande concerne les droits de mutation perçus lors de l'achat de l'immeuble de Morges en 1954, la demanderesse a un intérêt juridique, puisqu'elle a requis le remboursement des droits payés et que la Commission cantonale de recours en matière d'impôt a suspendu l'affaire, afin que les parties fassent constater par le Tribunal fédéral l'état de droit qui servira de base à la décision. Ce chef des conclusions est donc recevable. Il n'en est pas de même des conclusions concernant les acquisitions futures, encore indéterminées, car la question est prématurée et l'intérêt juridique à la solution n'est pas actuel. La demanderesse n'a pas pris de conclusions concernant BGE 87 I 146 S. 150 l'immeuble occupé par ses bureaux. La conclusion prise par l'Administration cantonale des impôts sur ce point est sans intérêt, car il n'y a pas de contestation.</w:t>
      </w:r>
    </w:p>
    <w:p>
      <w:r>
        <w:rPr>
          <w:b/>
        </w:rPr>
        <w:t>E. 2</w:t>
      </w:r>
    </w:p>
    <w:p>
      <w:r>
        <w:t>L'art. 31 LAMA exempte d'impôts les caisses d'assurance maladie, "sauf en ce qui touche leur fortune immobilière non directement affectée au service de l'assurance". Il est constant que les immeubles acquis par une caisse en vue de placer ses réserves, servent d'une certaine manière à l'exploitation de l'assurance; aussi bien l'art. 28 LA oblige-t-il les caisses à affecter leurs ressources uniquement à des buts d'assurance. Mais l'immeuble n'est pas directement utilisé à cet effet. Pour mettre la réserve à contribution, il faudra hypothéquer ou vendre le bâtiment; ce n'est donc pas l'immeuble, mais sa valeur comme élément du patrimoine, qui est affectée à l'assurance. Il en est de même des revenus annuels, s'ils sont utilisés pour couvrir les dépenses d'assurance. Il n'y a pas lieu de faire une différence entre les réserves que l'Office fédéral des assurances sociales a estimées nécessaires pour créer la sécurité et celles qui dépasseraient cette limite. Les premières seront utilisées plus fréquemment; cependant lorsqu'elles le seront, leur affectation au service de l'assurance ne sera pas directe, puisque ce ne sera pas l'immeuble lui-même, mais sa valeur comme objet patrimonial que l'on utilisera. Dès lors, il apparaît que, si le législateur a expressément parlé de fortune immobilière "directement" affectée au service de l'assurance, c'était en vue d'exclure les immeubles de placement. Tel était, d'ailleurs, l'avis du Conseil fédéral qui, dans son message du 10 décembre 1906, présentant le projet de la loi, avait précisé qu'un immeuble de rapport dans lequel une caisse aurait investi ses réserves ne serait pas exempt d'impôts. Cette interprétation est confirmée par la jurisprudence que le Tribunal fédéral a adoptée en appliquant l'art. 7 de la loi fédérale sur les garanties politiques et de police en faveur de la Confédération, qui a été repris dans l'art. 10 BGE 87 I 146 S. 151 de la loi du 26 mars 1934 sur le même objet. Formulé en des termes analogues à ceux de l'art. 31 LAMA, cet article exempte des impôts directs des cantons notamment "les immeubles, établissements et matériaux affectés directement à un but fédéral". Or, dans l'arrêt Confédération c. Berne, du 16 novembre 1928 (RO 54 I 428, 429), le Tribunal fédéral a jugé que les immeubles acquis pour servir de placement n'étaient pas affectés directement à un but fédéral. L'analogie entre les deux situations étant évidente, il n'y a aucune raison de s'écarter de cette interprétation en l'espèce. La demanderesse estime illogique que les réserves investies en immeubles ne soient pas exemptées de l'impôt, alors que les placements en valeurs mobilières sont exonérés. Dans l'arrêt RO 54 I 429 déjà cité, le Tribunal fédéral a donné certains motifs de cette distinction. Elle se justifie parce que les propriétés immobilières constituent tout particulièrement la matière imposable des collectivités publiques sur le territoire desquelles elles se trouvent; au reste, elles grèvent le budget de ces collectivités de charges spéciales, notamment en matière de voirie et de police. En outre, si l'exonération était étendue à tous les immeubles, même à ceux qu'une caisse pourrait acheter dans une région où elle n'exerce aucune activité, on ne verrait plus le rapport entre ce privilège fiscal et le but poursuivi. L'investissement des réserves en immeubles ne paraît pas une nécessité pour les caisses. Preuvc en est que, durant son activité, la demanderesse a acquis un seul immeuble de rapport. Au contraire, fortes du privilège fiscal qui leur serait accordé, les caisses seraient tentées de spéculer sur les immeubles. Les textes que la demanderesse a relevés dans la discussion qui se déroula à la commission du Conseil national, à propos du projet de loi, montrent que l'on a pensé, alors, à ce danger. M. Steiger avait noté l'inconséquence qu'il y avait, à son avis, à exonérer les valeurs mobilières et à maintenir l'impôt sur les immeubles. Et M. Scherrer a expressément BGE 87 I 146 S. 152 déclaré que si une caisse achetait un immeuble qui n'avait aucune relation avec l'assurance (das mit der Versicherung nichts zu tun hätte), par exemple pour faire une spéculation ou exploiter une ferme, cette propriété serait soumise à l'impôt. Or il sera toujours très difficile sinon impossible d'établir la différence entre un placement et une spéculation. Par conséquent, l'art. 31 al. 1 LAMA, conformément à son texte, doit être interprété dans ce sens que les immeubles acquis par une caisse d'assurance pour placer ses réserves ne sont pas exempts des impôts cantonaux.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