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126</w:t>
      </w:r>
    </w:p>
    <w:p>
      <w:r>
        <w:t>Bundesgericht (BGE), 1961-05-03, DE</w:t>
      </w:r>
    </w:p>
    <w:p>
      <w:r>
        <w:rPr>
          <w:b/>
        </w:rPr>
        <w:t xml:space="preserve">Quelle: </w:t>
      </w:r>
      <w:r>
        <w:t>https://mcp.opencaselaw.ch/entscheid/bge_BGE_87_I_126</w:t>
      </w:r>
    </w:p>
    <w:p>
      <w:r>
        <w:t>FR: ATF 87 I 126</w:t>
      </w:r>
    </w:p>
    <w:p>
      <w:r>
        <w:t>IT: DTF 87 I 126</w:t>
      </w:r>
    </w:p>
    <w:p>
      <w:pPr>
        <w:pStyle w:val="Heading2"/>
      </w:pPr>
      <w:r>
        <w:t>Regeste</w:t>
      </w:r>
    </w:p>
    <w:p>
      <w:r>
        <w:t>Regeste Wohnsitzgerichtsstand. Anfechtbare Verfügung; Natur der Feststellungsklage über das Bestehen oder Nichtbestehen einer persönlichen Ansprache; Zulässigkeit der Widerklage am Ort der Einleitung der Hauptklage nur bei Rechtshängigkeit der Hauptklage.</w:t>
      </w:r>
    </w:p>
    <w:p>
      <w:r>
        <w:t>Regeste For du domicile. Décision attaquable; nature de l'action déclaratoire de droit sur l'existence ou l'inexistence d'une réclamation personnelle; l'action reconventionnelle ne peut être intentée au lieu où l'action principale a été introduite que si cette dernière est déjà pendante.</w:t>
      </w:r>
    </w:p>
    <w:p>
      <w:r>
        <w:t>Regesto Foro del domicilio. Decisione impugnabile; natura dell'azione di accertamento di diritto circa l'esistenza o l'inesistenza di un reclamo personale; l'azione riconvenzionale è ammissibile nel luogo in cui è stata promossa l'azione principale soltanto se questa vi è pendente.</w:t>
      </w:r>
    </w:p>
    <w:p>
      <w:pPr>
        <w:pStyle w:val="Heading2"/>
      </w:pPr>
      <w:r>
        <w:t>Erwägungen</w:t>
      </w:r>
    </w:p>
    <w:p>
      <w:r>
        <w:rPr>
          <w:b/>
        </w:rPr>
        <w:t>E. 1</w:t>
      </w:r>
    </w:p>
    <w:p>
      <w:r>
        <w:t>Die staatsrechtliche Beschwerde richtet sich gegen die Einschreibung der Widerklage und die Fristansetzung BGE 87 I 126 S. 129 zu deren Beantwortung. Sie wird damit begründet, dass diese Verfügungen Art. 59 BV verletzen, weil die Hauptklage noch nicht gerichtlich anhängig gemacht worden sei. Die staatsrechtliche Beschwerde wegen Verletzung von Art. 59 BV kann gegen jede gerichtliche Verfügung erhoben werden, mit welcher der Richter richterliche Tätigkeit ausübt ( BGE 66 I 232 , BGE 68 I 151 ). Sie kann, wenn sie sich gegen die Zulässigkeit einer Widerklage richtet, also noch nach Beurteilung der Widerklage, im Anschluss an das Sachurteil darüber erhoben werden, wenn mit dem Urteil gleichzeitig über die bestrittene Zuständigkeit entschieden wird, allfällig noch gegen die Vollstreckung ( BGE 69 I 85 ). Sie kann aber auch angeschlossen werden an die Einschreibung des Prozesses oder an die Aufforderung des Gerichtes, auf die Widerklage zu antworten. Ist sie gegen die Einschreibung der Widerklage, mit der die Rechtshängigkeit begründet wird, verspätet, wird sie aber rechtzeitig an die Aufforderung zur Einreichung der Antwort angeschlossen, so hat die Gutheissung der Beschwerde implicite zur Folge, dass auch die Prozesseinschreibung aufgehoben wird. Da die vorliegende Beschwerde innert der der Beschwerdeführerin angesetzten Frist zur Einreichung der Widerklageantwort erhoben worden ist, ist sie rechtzeitig, d.h. kann auf Grund derselben darüber entschieden werden, ob die Aufforderung zur Beantwortung Art. 59 BV verletzt.</w:t>
      </w:r>
    </w:p>
    <w:p>
      <w:r>
        <w:rPr>
          <w:b/>
        </w:rPr>
        <w:t>E. 2</w:t>
      </w:r>
    </w:p>
    <w:p>
      <w:r>
        <w:t>Das Bezirksgericht verneint eine Verletzung von Art. 59 BV schon aus dem Grunde, weil der Widerkläger eine Feststellungsklage erhebe. Nach ihrer äusseren Form ist die Widerklage allerdings eine Feststellungsklage. Es soll festgestellt werden, dass die von der Widerbeklagten gegen den Widerkläger durch Betreibung geltend gemachte persönliche Forderung von Fr. 50'000.-- nicht zu Recht bestehe. Es handelt sich also um eine Feststellungsklage über das Bestehen oder Nichtbestehen einer persönliche Ansprache. Derartige - positive oder negative - Feststellungsklagen sind nach der Rechtsprechung ( BGE 25 I 425 , BGE 32 I 74 , nicht publiziertes Urteil BGE 87 I 126 S. 130 vom 7. Februar 1944 i.S. Wipf S. 8, mit Hinweis auf LEUCH ZPO, II. Auflage zu Art. 174, Note 1 S. 173) persönliche Ansprachen im Sinne von Art. 59 BV .</w:t>
      </w:r>
    </w:p>
    <w:p>
      <w:r>
        <w:rPr>
          <w:b/>
        </w:rPr>
        <w:t>E. 3</w:t>
      </w:r>
    </w:p>
    <w:p>
      <w:r>
        <w:t>Der Widerklagegerichtsstand am Ort der Einleitung der Hauptklage ist mit Art. 59 BV vereinbar, sofern Klage- und Widerklageforderung miteinander in einem rechtlichen Zusammenhang stehen, d.h. konnex sind ( BGE 58 I 169 ; BURCKHARDT, Komm. zu Art. 59 S. 558). Damit die Widerklage zulässig ist, muss daher die Hauptklage angehoben und rechtshängig gemacht worden (BGE 17, 373) und noch rechtshängig sein. Kompetenzgrund für die Widerklage ist die Rechtshängigkeit der Hauptklage; die Berechtigung des Gerichtsstandes der Widerklage, welcher den Widerbeklagten seines natürlichen Richters beraubt, beruht darin, dass die gerichtliche Beurteilung der Klage in tatsächlicher Beziehung diejenige der Widerklage fördert. Besteht diese Verwandtschaft nicht, so ist kein genügender Grund vorhanden, den Widerbeklagten vor dem Gericht des Widerklägers festzuhalten (LEUCH, bern. ZPO zu Art. 33 Note 1; BURCKHARDT, a.a.O. S. 559). Nach st. gallischem Prozessrecht ( Art. 205 Ziff. 3 ZPO ) kann die Widerklage allerdings schon vor dem Vermittler angehoben werden. Da die Rechtshängigkeit von Klage und Widerklage aber erst mit der Einschreibung des Rechtsstreites beim Richter eintritt ( Art. 213 ZPO ; LUTZ dazu Note 4), kann nach kantonalem Recht die Widerklage schon vor Eintritt der Rechtshängigkeit angehoben, eingeleitet werden ( Art. 96 Abs. 4 ZPO ). Das vermag jedoch nichts daran zu ändern, dass im interkantonalen Verhältnis die Hauptklage rechtshängig sein muss, damit der Gerichtsstand der Widerklage begründet ist. Im innerkantonalen Verhältnis bedarf es für die Widerklage der Konnexität nicht (LUTZ zu Art. 96 Note 2). Ob sie gegeben ist, kann definitiv erst festgestellt werden, wenn die Klage begründet worden ist, was mit der Anhängigmachung des Rechtsstreites geschieht ( Art. 275 ZPO ). Im innerkantonalen Verhältnis ist auch nicht erforderlich, BGE 87 I 126 S. 131 dass die Hauptklage noch rechtshängig sei, fällt also der Gerichtsstand der Widerklage bei Rückzug der Klage, bei einem Vergleich darüber oder Gegenstandslosigkeit derselben nicht dahin, während im interkantonalen Verhältnis der Gerichtsstand der Widerklage vor Art. 59 BV nur dann gerechtfertigt ist, wenn die Hauptklage (noch) anhängig ist. Da dies hier noch nicht der Fall ist, verletzt die Entgegennahme und Behandlung der Widerklage Art. 59 BV und ist daher die Aufforderung zu deren Beantwortung aufzuheben. Damit fällt auch die Einschreibung der Widerklage dahin.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