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55</w:t>
      </w:r>
    </w:p>
    <w:p>
      <w:r>
        <w:t>Bundesgericht (BGE), 1961-01-01, FR</w:t>
      </w:r>
    </w:p>
    <w:p>
      <w:r>
        <w:rPr>
          <w:b/>
        </w:rPr>
        <w:t xml:space="preserve">Quelle: </w:t>
      </w:r>
      <w:r>
        <w:t>https://mcp.opencaselaw.ch/entscheid/bge_BGE_87_IV_55</w:t>
      </w:r>
    </w:p>
    <w:p>
      <w:r>
        <w:t>FR: ATF 87 IV 55</w:t>
      </w:r>
    </w:p>
    <w:p>
      <w:r>
        <w:t>IT: DTF 87 IV 55</w:t>
      </w:r>
    </w:p>
    <w:p>
      <w:pPr>
        <w:pStyle w:val="Heading2"/>
      </w:pPr>
      <w:r>
        <w:t>Regeste</w:t>
      </w:r>
    </w:p>
    <w:p>
      <w:r>
        <w:t>Regeste Art. 43 StGB. Begeht der Eingewiesene nach der Flucht aus der Arbeitserziehungsanstalt neue Straftaten, so hat der Richter zu prüfen, ob und wieweit die aufgeschobene Strafe zu vollziehen sei (vgl. BGE 77 IV 153 f.).</w:t>
      </w:r>
    </w:p>
    <w:p>
      <w:r>
        <w:t>Regeste Art. 43 CP. Lorsque l'interné s'évade et commet de nouvelles infractions, le juge doit examiner si et dans quelle mesure il y a lieu d'exécuter la peine suspendue (cf. RO 77 IV 153 s.).</w:t>
      </w:r>
    </w:p>
    <w:p>
      <w:r>
        <w:t>Regesto Art. 43 CP. Quando l'internato evade e commette nuove infrazioni, il giudice deve esaminare se e in quale misura la pena sospesa debba essere eseguita (cfr. RU 77 IV 153 sgg.).</w:t>
      </w:r>
    </w:p>
    <w:p>
      <w:pPr>
        <w:pStyle w:val="Heading2"/>
      </w:pPr>
      <w:r>
        <w:t>Erwägungen</w:t>
      </w:r>
    </w:p>
    <w:p>
      <w:r>
        <w:rPr>
          <w:b/>
        </w:rPr>
        <w:t>E. 1</w:t>
      </w:r>
    </w:p>
    <w:p>
      <w:r>
        <w:t>Le recourant invoque l'arrêt Trottmann (RO 77 IV 152 ss.); il en déduit que les premiers juges auraient dû révoquer l'internement ordonné en 1958 et ne pas suspendre l'exécution de la nouvelle peine. L'arrêt cité commence par relever que l'art. 43 CP ne règle pas tous les cas où la peine suspendue doit être exécutée après coup et que le principe selon lequel, dans certaines circonstances, l'internement dans un établissement d'éducation au travail doit être révoqué et l'exécution de la peine ordonnée s'applique par analogie dans deux cas, outre ceux que vise la loi: premièrement lorsque l'auteur est condamné à une peine, non plus d'emprisonnement, mais de réclusion pour un crime antérieur à l'internement et découvert plus tard, secondement lorsqu'il s'évade et commet de nouvelles infractions (RO 77 IV 153, 154). Néanmoins et contrairement à ce que pense Veuthey, la Cour de cassation pénale n'a pas voulu dire que, dans la seconde de ces éventualités (délits perpétrés après une évasion), il fallait toujours révoquer l'internement et BGE 87 IV 55 S. 57 ordonner l'exécution de la peine. Elle a seulement admis qu'un tel comportement n'était pas indifférent du point de vue de l'art. 43 CP et que le juge devait examiner, comme dans le cas du ch. 5 al. 2 si et dans quelle mesure la peine suspendue serait exécutée (p. 154 litt. b i.f.). La révocation de l'internement ne s'impose donc nécessairement que dans le premier des cas visés plus haut, mais non pas dans le second. Sur ce point, l'arrêt porte les termes suivants: "Selon le Code pénal revisé (art. 43 ch. 5 al. 2), lorsque le bénéficiaire d'une libération conditionnelle commet de nouveaux crimes ou délits pendant le délai d'épreuve, le juge est tenu de décider si et dans quelle mesure la peine suspendue doit être exécutée; on en conclura qu'une décision sur ce point s'impose à fortiori lorsque l'auteur commet de telles infractions dans l'établissement même ou après s'en être évadé, avant toute libération conditionnelle" (traduit de l'allemand). Sans doute, dans l'affaire Trottmann, la juridiction cantonale a-t-elle été invitée à révoquer l'internement. Mais c'est précisément parce que Trottmann s'est vu infliger entre temps une peine de réclusion. Tel n'est pas le cas de Veuthey. Si l'on considère que le séjour du recourant dans la maison d'éducation au travail a été très bref - lui-même précise qu'il s'en est évadé après 36 jours - il n'est pas établi qu'il ne puisse être formé au travail (WAIBLINGER, Revue des juristes bernois, 1954, p. 444). Aussi le Tribunal cantonal n'a-t-il pas abusé de son pouvoir appréciateur en suspendant l'exécution de la nouvelle peine, de façon que l'éducation commencée en 1958 puisse être reprise.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