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164</w:t>
      </w:r>
    </w:p>
    <w:p>
      <w:r>
        <w:t>Bundesgericht (BGE), 1960-05-16, FR</w:t>
      </w:r>
    </w:p>
    <w:p>
      <w:r>
        <w:rPr>
          <w:b/>
        </w:rPr>
        <w:t xml:space="preserve">Quelle: </w:t>
      </w:r>
      <w:r>
        <w:t>https://mcp.opencaselaw.ch/entscheid/bge_BGE_87_IV_164</w:t>
      </w:r>
    </w:p>
    <w:p>
      <w:r>
        <w:t>FR: ATF 87 IV 164</w:t>
      </w:r>
    </w:p>
    <w:p>
      <w:r>
        <w:t>IT: DTF 87 IV 164</w:t>
      </w:r>
    </w:p>
    <w:p>
      <w:pPr>
        <w:pStyle w:val="Heading2"/>
      </w:pPr>
      <w:r>
        <w:t>Regeste</w:t>
      </w:r>
    </w:p>
    <w:p>
      <w:r>
        <w:t>Regeste Art. 84 Abs. 1 lit. c OG, 269 Abs. 2. BStP. Die Rüge, eine Bestrafung wegen Übertretung von Art. 53 der interkantonalen Verordnung betreffend die Schiffahrtspolizei auf dem Genfersee usw. vom 16. Mai 1960 verletze Art. 39 des Übereinkommens zwischen der Schweiz und Frankreich betreffend die Schiffahrt auf dem Lemansee vom 10. September 1902, ist mit staatsrechtlicher Beschwerde vorzubringen.</w:t>
      </w:r>
    </w:p>
    <w:p>
      <w:r>
        <w:t>Regeste Art. 84 al. 1 lit. c OJ, 269 al. 2 PPF. C'est par la voie du recours de droit public que l'on peut alléguer qu'une condamnation prononcée pour contravention à l'art. 53 du règlement intercantonal du 16 mai 1960 concernant la police de la navigation sur le lac Léman etc. viole l'art. 39 de la Convention franco-suisse du 10 septembre 1902 sur le même sujet.</w:t>
      </w:r>
    </w:p>
    <w:p>
      <w:r>
        <w:t>Regesto Art. 84 cpv. 1 lett. c OG, 269 cpv. 2 PPF. È mediante ricorso di diritto pubblico che si può far valere che una condanna pronunciata per contravvenzione all'art. 53 del regolamento intercantonale 16 maggio 1960 concernente la polizia della navigazione sul lago Lemano ecc. viola l'art. 39 della Convenzione franco-svizzera del 10 settembre 1902 sul medesimo oggetto.</w:t>
      </w:r>
    </w:p>
    <w:p>
      <w:pPr>
        <w:pStyle w:val="Heading2"/>
      </w:pPr>
      <w:r>
        <w:t>Erwägungen</w:t>
      </w:r>
    </w:p>
    <w:p>
      <w:r>
        <w:rPr>
          <w:b/>
        </w:rPr>
        <w:t>E. 1</w:t>
      </w:r>
    </w:p>
    <w:p>
      <w:r>
        <w:t>Le recourant allègue qu'une disposition d'un traité international a été violée, à savoir l'art. 39 de la convention BGE 87 IV 164 S. 165 franco-suisse du 10 septembre 1902 concernant la police de la navigation sur le lac Léman (en abrégé: la Convention). Selon l'art. 84 al. 1 litt. c OJ, la violation de traités internationaux par une décision cantonale peut être alléguée devant le Tribunal fédéral par le moyen du recours de droit public, sauf s'il s'agit de dispositions de droit civil ou de droit pénal. En matière de droit civil, c'est la voie du recours en réforme (art. 43 OJ) ou du recours en nullité (art. 68 OJ) qui est seule ouverte; en matière de droit pénal, c'est celle du pourvoi en nullité (art. 268 PPF). Dans ces deux domaines, les clauses des traités internationaux sont, pour les parties, assimilables aux autres règles du droit fédéral, civil ou pénal; leur violation est sanctionnée par les mêmes voies. La réserve que fait l'art. 84 al. 1 litt. c OJ pour la recevabilité du recours de droit public découle, du reste, déjà de celle que formule d'une façon toute générale l'art. 84 al. 2: le dit recours n'est ouvert que si la prétendue violation ne peut être soumise par une action ou par un autre moyen de droit quelconque au Tribunal fédéral ou à une autre autorité fédérale. L'ancienne loi sur l'organisation judiciaire de 1893 ne réservait pas expressément, à son art. 175 al. 1 ch. 3, le cas de violation des clauses civiles et pénales des traités internationaux. Mais la jurisprudence (RO 27 I 194 ; 35 I 144 ; 41 I 336 ), partant du principe selon lequel le recours de droit public est une voie de droit subsidiaire, avait déjà introduit la réserve qui figure aujourd'hui à l'art. 84 al. 1 litt. c OJ (cf. aussi le message du Conseil fédéral du 9 février 1943, relatif à la nouvelle loi sur l'organisation judiciaire, FF 1943, p. 144). Pour savoir si le pourvoi en nullité, d'une part, ou le recours de droit public, d'autre part, sont recevables en l'espèce, il faut donc rechercher si l'art. 39 de la Convention, dont le recourant allègue la violation, relève ou non du droit pénal. Cette clause interdit "aux loueurs de bateaux de confier une embarcation à des jeunes gens ayant BGE 87 IV 164 S. 166 moins de seize ans, ainsi qu'à toute personne qui n'aurait pas l'expérience nécessaire pour la conduire". Le recourant estime qu'elle ne permet pas aux cantons riverains d'introduire des exigences plus sévères et, en particulier, d'exiger que, pour la conduite des embarcations à moteur, les clients des loueurs de bateaux soient munis d'un permis spécial. L'art. 39 précité, en lui-même, concerne la police de la navigation. C'est selon les principes applicables à l'interprétation des conventions internationales qu'il faut examiner s'il règle totalement la matière ou s'il laisse aux puissances contractantes la latitude d'édicter des prescriptions complémentaires.</w:t>
      </w:r>
    </w:p>
    <w:p>
      <w:r>
        <w:rPr>
          <w:b/>
        </w:rPr>
        <w:t>E. 2</w:t>
      </w:r>
    </w:p>
    <w:p>
      <w:r>
        <w:t>Le pourvoi en nullité ne serait dès lors recevable que si la violation de l'art. 39, telle que l'allègue le recourant, impliquait celle de l'art. 82 de la Convention, selon lequel les contraventions aux règles fixées par les Etats contractants sont punies, dans les eaux suisses, d'une amende de deux francs à mille francs ou d'un emprisonnement d'un jour à deux mois, sans préjudice des peines plus graves prononcées par les tribunaux en cas de crime ou de délits. Supposé que l'art. 39 règle entièrement la location de bateaux, la disposition pénale de l'art. 82 porterait aussi une réglementation totale et exclurait une condamnation prononcée en vertu d'une loi interne, par exemple en vertu du Règlement appliqué en l'espèce. Ainsi, une telle condamnation violerait aussi l'art. 82, mais - et cela résulte de ce qu'on vient de montrer - on ne pourrait le constater qu'en déterminant la portée de l'art. 39. Si cette clause ne faisait pas obstacle à la création, par le droit interne, de règles complémentaires sur la location de bateaux, la condamnation prononcée de par ces règles ne violerait pas la Convention. C'est donc, en définitive, la violation de l'art. 39 et non celle de l'art. 82 qui constitue le grief décisif élevé à l'encontre de la condamnation litigieuse. Il s'ensuit que c'est par la voie du recours de droit public BGE 87 IV 164 S. 167 et non par celle du pourvoi en nullité que le moyen peut être soumis au Tribunal fédéral: Pourrait seule faire l'objet d'un pourvoi en nullité la violation de l'art. 82 lui-même par l'autorité de répression; dans ce cas seulement, le grief consisterait dans la fausse application d'une règle pénale de la Convention, selon l'art. 84 al. 1 litt. c OJ.</w:t>
      </w:r>
    </w:p>
    <w:p>
      <w:r>
        <w:rPr>
          <w:b/>
        </w:rPr>
        <w:t>E. 3</w:t>
      </w:r>
    </w:p>
    <w:p>
      <w:r>
        <w:t>Cette solution concorde du reste avec la jurisprudence de la Cour de cassation pénale touchant les art. 268 ss. PPF. Le recourant a été condamné selon le Règlement, c'est-à-dire en vertu du droit cantonal. Il attaque cette décision, par le motif qu'elle serait contraire au droit fédéral, la Convention, qu'en effet celle-ci, par son art. 39, réglerait totalement les conditions auxquelles est subordonnée la location de bateaux. Il s'agit donc de trancher une question préjudicielle de droit fédéral, dont la solution détermine la validité de la règle pénale de droit cantonal. Ce point ne pourrait être soumis au Tribunal fédéral dans un pourvoi en nullité que s'il relevait du droit pénal fédéral (RO 73 IV 135 et divers arrêts postérieurs, non publiés). Tel n'est pas le cas en l'espèce, comme on l'a dit plus haut; l'art. 39 de la Convention relève non pas du droit pénal, mais de la police.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