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13</w:t>
      </w:r>
    </w:p>
    <w:p>
      <w:r>
        <w:t>Bundesgericht (BGE), 1961-01-01, DE</w:t>
      </w:r>
    </w:p>
    <w:p>
      <w:r>
        <w:rPr>
          <w:b/>
        </w:rPr>
        <w:t xml:space="preserve">Quelle: </w:t>
      </w:r>
      <w:r>
        <w:t>https://mcp.opencaselaw.ch/entscheid/bge_BGE_87_IV_13</w:t>
      </w:r>
    </w:p>
    <w:p>
      <w:r>
        <w:t>FR: ATF 87 IV 13</w:t>
      </w:r>
    </w:p>
    <w:p>
      <w:r>
        <w:t>IT: DTF 87 IV 13</w:t>
      </w:r>
    </w:p>
    <w:p>
      <w:pPr>
        <w:pStyle w:val="Heading2"/>
      </w:pPr>
      <w:r>
        <w:t>Regeste</w:t>
      </w:r>
    </w:p>
    <w:p>
      <w:r>
        <w:t>Regeste Art. 181 StGB. Die durch Androhung einer Strafanzeige begangene Nötigung kann nach den Umständen auch dann rechtswidrig sein, wenn der Gegenstand des gestellten Begehrens mit dem Straftatbestand, der angezeigt werden soll, sachlich zusammenhängt.</w:t>
      </w:r>
    </w:p>
    <w:p>
      <w:r>
        <w:t>Regeste Art. 181 CP. La contrainte exercée par la menace d'une plainte pénale peut aussi être illicite, selon les circonstances, lorsque les exigences de l'auteur sont objectivement connexes avec l'acte qui devait faire l'objet de la plainte.</w:t>
      </w:r>
    </w:p>
    <w:p>
      <w:r>
        <w:t>Regesto Art. 181 CP. La coazione esercitata usando minaccia di una querela penale può, secondo le circostanze, essere illecita anche quando le esigenze dell'autore sono oggettivamente connesse con l'atto che doveva formare oggetto della querela.</w:t>
      </w:r>
    </w:p>
    <w:p>
      <w:pPr>
        <w:pStyle w:val="Heading2"/>
      </w:pPr>
      <w:r>
        <w:t>Erwägungen</w:t>
      </w:r>
    </w:p>
    <w:p>
      <w:r>
        <w:rPr>
          <w:b/>
        </w:rPr>
        <w:t>E. 1</w:t>
      </w:r>
    </w:p>
    <w:p>
      <w:r>
        <w:t>Wie in BGE 69 IV 172 ausgeführt wurde, ist derjenige, der im Sinne von Art. 181 StGB einen andern zu einem Verhalten nötigt, nur strafbar, wenn die Nötigung rechtswidrig ist. Diese Voraussetzung ist von vorneherein erfüllt, wenn der erstrebte Zweck oder das angewendete Mittel gegen die Rechtsordnung oder gegen die guten Sitten verstösst. An sich unerlaubt ist aber z.B. nicht das Begehren um Anerkennung einer bestrittenen Forderung, wenn der Gläubiger in guten Treuen sich für berechtigt hält, aber Zweifel hat, ob er gerichtlich obsiegen würde. Ebensowenig ist die Drohung mit Strafanzeige ein an sich unzulässiges Mittel, wenn der Verdacht, der vertretbar war, sich nachträglich als unzutreffend erweist ( BGE 69 IV 172 Erw. 3). Anderseits wird die Rechtswidrigkeit der Nötigung nicht schon dann ausgeschlossen, wenn sowohl der verfolgte Zweck als auch das angewendete Zwangsmittel an sich rechtmässig sind. Es kommt auch noch darauf an, ob die Anwendung des Zwanges als angemessenes Druckmittel erscheint oder ob das Vorgehen nach den Umständen rechtsmissbräuchlich ist oder den guten Sitten widerspricht. Als Rechtsmissbrauch betrachtete der Kassationshof von jeher die Androhung einer Strafanzeige, wenn zwischen dem Straftatbestand, der angezeigt werden soll, und dem Gegenstand des gestellten Begehrens jeder sachliche Zusammenhang fehlt, und als sittenwidrig wurde BGE 87 IV 13 S. 15 beispielsweise die Drohung mit einer Strafanzeige wegen Zuhälterei angesehen, weil die Dirne, die den Zuhälter zur Rückerstattung des Geldes veranlassen wollte, selber zum Zustandekommen der strafbaren Tätigkeit des Genötigten wesentlich beigetragen hatte (Urteil des Kassationshofes vom 15. Mai 1953 i.S. Pfister).</w:t>
      </w:r>
    </w:p>
    <w:p>
      <w:r>
        <w:rPr>
          <w:b/>
        </w:rPr>
        <w:t>E. 2</w:t>
      </w:r>
    </w:p>
    <w:p>
      <w:r>
        <w:t>Oertly hatte nach der verbindlichen Feststellung des Obergerichtes keine Kenntnis davon, dass die von der Intercomet Handels AG für Finkelstein beschafften Endverbraucher-Zertifikate von einer unbefugten Person ausgestellt worden und infolgedessen unecht waren. Er war daher berechtigt, König, den Alleinaktionär der Intercomet, wegen Gebrauchs gefälschter Urkunden anzuzeigen. Ferner steht verbindlich fest, dass der Misserfolg des mit Finkelstein angebahnten Nickelgeschäfts einzig auf die Unbrauchbarkeit der gefälschten Urkunden zurückzuführen war. Die Schadenersatzansprüche, die Oertly gegen König zu haben glaubte, standen demnach mit den Urkundenfälschungen, die er ihm vorwarf, in direktem Zusammenhang. An sich durfte er deshalb König mit Strafanzeige drohen, um seiner Schadenersatzforderung Nachachtung zu verschaffen. Ob er, was deren Höhe anbelangt, sich in guten Treuen zur Verrechnung mit den Gegenansprüchen der Intercomet im Betrage von Fr. 49, 190.90 und darüber hinaus zur Forderung von Fr. 20'000.-- für berechtigt halten konnte oder ob seine Schadenersatzforderung übersetzt und insoweit seine Drohung aus diesem Grunde missbräuchlich war, wie das Obergericht angenommen hat, kann offen bleiben, da das Vorgehen des Beschwerdeführers auf jeden Fall gegen die guten Sitten verstiess. Zur Ausfuhr von Nickel aus dem Gebiet der Westmächte bedurfte es einer Bewilligung des betreffenden Staates, die nur erhältlich war, wenn der Endverbraucher schriftlich bescheinigte, dass die auszuführende Ware für ihn und nicht für den Export nach einem kommunistischen Oststaate bestimmt sei. Die Lieferungen von Nickel aus Westdeutschland und Belgien nach Rotchina, die Oertly BGE 87 IV 13 S. 16 und König gemeinschaftlich vorgenommen hatten und weiter vorzunehmen sich anschickten, waren daher überhaupt nur mit Hilfe inhaltlich unwahrer Endverbraucher-Zertifikate möglich. Oertly wusste dies. Er hat somit durch seine Beteiligung an solchen Geschäften von Anfang an die Herstellung und den Gebrauch unwahrer Urkunden gebilligt und sich damit ebenso wie König nach Art. 251 StGB strafbar gemacht. Die Falschbeurkundung, die auch im Falle Finkelstein vorlag, zu billigen, wegen der zusätzlichen materiellen Fälschung aber König mit Strafanzeige zu drohen, widerspricht den guten Sitten. Dieses Vorgehen ist umso verwerflicher, als Oertly seinem Geschäftspartner in Wirklickheit nicht wegen der Urkundenfälschung als solcher Vorwürfe machte, sondern einzig deshalb, weil der beabsichtigte Täuschungserfolg nicht eintrat. Er hatte von König bloss verlangt, dass die Zertifikate im Falle einer Rückfrage standhielten, d.h. notfalls vom fingierten Endverbraucher gedeckt würden. Es war ihm also im Grunde genommen gleichgültig, ob die unwahren Urkunden echt oder unecht seien, sofern die verbotene Nickelausfuhr gelang. Oertly hat den Abschluss des Vergleiches durch Drohungen erwirkt, die unter den gegebenen Umständen unzulässig waren, und er hat dabei mit Wissen und Willen gehandelt. Der Tatbestand des Art. 181 StGB ist somit erfüllt.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