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281</w:t>
      </w:r>
    </w:p>
    <w:p>
      <w:r>
        <w:t>Bundesgericht (BGE), 1960-03-09, DE</w:t>
      </w:r>
    </w:p>
    <w:p>
      <w:r>
        <w:rPr>
          <w:b/>
        </w:rPr>
        <w:t xml:space="preserve">Quelle: </w:t>
      </w:r>
      <w:r>
        <w:t>https://mcp.opencaselaw.ch/entscheid/bge_BGE_87_II_281</w:t>
      </w:r>
    </w:p>
    <w:p>
      <w:r>
        <w:t>FR: ATF 87 II 281</w:t>
      </w:r>
    </w:p>
    <w:p>
      <w:r>
        <w:t>IT: DTF 87 II 281</w:t>
      </w:r>
    </w:p>
    <w:p>
      <w:pPr>
        <w:pStyle w:val="Heading2"/>
      </w:pPr>
      <w:r>
        <w:t>Regeste</w:t>
      </w:r>
    </w:p>
    <w:p>
      <w:r>
        <w:t>Regeste Klage auf Anfechtung der Ehelichkeit. Ausschluss der Vaterschaft des Ehemannes auf Grund der Bestimmung des Blutfaktors S.</w:t>
      </w:r>
    </w:p>
    <w:p>
      <w:r>
        <w:t>Regeste Action en désaveu. Impossibilité de la paternité du mari, fondée sur la détermination du facteur sanguin S.</w:t>
      </w:r>
    </w:p>
    <w:p>
      <w:r>
        <w:t>Regesto Azione di contestazione della paternità. Impossibilità della paternità del marito, fondata sulla determinazione del fattore sanguigno S.</w:t>
      </w:r>
    </w:p>
    <w:p>
      <w:pPr>
        <w:pStyle w:val="Heading2"/>
      </w:pPr>
      <w:r>
        <w:t>Erwägungen</w:t>
      </w:r>
    </w:p>
    <w:p>
      <w:r>
        <w:rPr>
          <w:b/>
        </w:rPr>
        <w:t>E. 1</w:t>
      </w:r>
    </w:p>
    <w:p>
      <w:r>
        <w:t>Obwohl zwischen Mutter und Kind gemäss Art. 253 Abs. 2 ZGB eine notwendige passive Streitgenossenschaft besteht, ist auf die vom Kind allein erklärte Berufung einzutreten. Die Mutter, die schon vor Obergericht nicht mehr am Prozess teilgenommen hat, ist im bundesgerichtlichen Verfahren nicht als Partei zu behandeln, doch wird das Urteil des Bundesgerichts für sie in gleicher Weise wie für den Kläger und das Kind massgebend sein (vgl. zu alledem BGE 82 II 1 ff.).</w:t>
      </w:r>
    </w:p>
    <w:p>
      <w:r>
        <w:rPr>
          <w:b/>
        </w:rPr>
        <w:t>E. 2</w:t>
      </w:r>
    </w:p>
    <w:p>
      <w:r>
        <w:t>Da der Zweitbeklagte innerhalb einer Frist von dreihundert Tagen nach Auflösung der Ehe geboren wurde, ist seine Ehelichkeit gemäss Art. 252 Abs. 1 ZGB zu vermuten. Der Kläger vermag seine Klage auf Anfechtung der Ehelichkeit dieses Kindes, das nicht etwa vor dem hundertachtzigsten Tage nach Abschluss der Ehe, sondern erst mehrere Jahre nach der Heirat zur Welt kam, gemäss Art. 254 ZGB nur durch den Nachweis zu begründen, dass er unmöglich dessen Vater sein könne. Nach der Rechtsprechung, die das Bundesgericht seit 1945 ständig befolgt, kann die Blutprobe zu diesem Nachweis dienen; die Unmöglichkeit der Vaterschaft des Ehemannes ist als erwiesen zu betrachten, wenn das Ergebnis einer fachgerecht durchgeführten Blutuntersuchung seine Vaterschaft mit Sicherheit oder mit an Sicherheit grenzender Wahrscheinlichkeit ausschliesst und bereits durch andere Beweismittel Tatsachen dargetan sind, die eine aussereheliche Erzeugung des Kindes als möglich erscheinen lassen ( BGE 87 II 15 mit Hinweisen). BGE 87 II 281 S. 285 Diese letzte Voraussetzung ist im vorliegenden Falle zweifellos erfüllt. Die Vorinstanz hat festgestellt, durch das Zeugnis des R. und das von ihr als glaubwürdig erachtete Zugeständnis der Mutter sei nachgewiesen, dass diese in der Empfängniszeit ausserehelichen Geschlechtsverkehr pflog. Diese Feststellung ist gemäss Art. 63 Abs. 2 OG für das Bundesgericht verbindlich. Die Blutuntersuchung ist, wie die Vorinstanz ebenfalls in verbindlicher Weise festgestellt hat, von einem ihr (wie übrigens auch dem Bundesgericht) als zuverlässig und fachkundig bekannten Sachverständigen einwandfrei durchgeführt worden. Eine von einem andern Fachmann mit einem Serum anderer Herkunft durchgeführte Kontrolluntersuchung hat den Befund des gerichtlichen Sachverständigen bestätigt. Indem die Vorinstanz die auf diesen Befund gestützte Schlussfolgerung des Sachverständigen, dass der Kläger mit an Sicherheit grenzender Wahrscheinlichkeit als Vater auszuschliessen sei, als überzeugend würdigte, hat sie keine Vorschrift des Bundesrechts verletzt. Es kann keine Rede davon sein, dass der Sachverständige den Begriff der an Sicherheit grenzenden Wahrscheinlichkeit und damit die gesetzlichen Anforderungen an den vom Kläger zu leistenden Beweis verkannt habe. Der Beistand des Kindes macht dies denn auch nicht geltend, sondern beschränkt sich darauf, ohne nähere Begründung zu behaupten, das vorliegende Gutachten, das sich auf die Bestimmung des Blutfaktors S stützt, reiche zum Nachweis der Unmöglichkeit der Vaterschaft des Klägers im Sinne von Art. 254 ZGB nicht aus. Damit vermag er nicht darzutun, dass die gegenteilige Auffassung der Vorinstanz bundesrechtswidrig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