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249</w:t>
      </w:r>
    </w:p>
    <w:p>
      <w:r>
        <w:t>Bundesgericht (BGE), 1961-01-01, DE</w:t>
      </w:r>
    </w:p>
    <w:p>
      <w:r>
        <w:rPr>
          <w:b/>
        </w:rPr>
        <w:t xml:space="preserve">Quelle: </w:t>
      </w:r>
      <w:r>
        <w:t>https://mcp.opencaselaw.ch/entscheid/bge_BGE_87_II_249</w:t>
      </w:r>
    </w:p>
    <w:p>
      <w:r>
        <w:t>FR: ATF 87 II 249</w:t>
      </w:r>
    </w:p>
    <w:p>
      <w:r>
        <w:t>IT: DTF 87 II 249</w:t>
      </w:r>
    </w:p>
    <w:p>
      <w:pPr>
        <w:pStyle w:val="Heading2"/>
      </w:pPr>
      <w:r>
        <w:t>Regeste</w:t>
      </w:r>
    </w:p>
    <w:p>
      <w:r>
        <w:t>Regeste Art. 684-686, 967 OR, Übertragung von Namenaktien. Die Gesellschaft kann jemanden, der das Eigentum an der Aktie nicht erworben hat oder sich darüber nicht ausweist, nicht durch Eintragung in das Aktienbuch zum Aktionär machen. Wenn sie Anspruch erhebt, dass ein Aktionär Aktien auf eine andere Person übertrage, muss sie gegen ihn entsprechend klagen.</w:t>
      </w:r>
    </w:p>
    <w:p>
      <w:r>
        <w:t>Regeste Art. 684-686, 967 CO, transfert d'actions nominatives. La société ne saurait, par le moyen d'une inscription dans le registre des actions, faire devenir actionnaire une personne qui n'est pas propriétaire d'actions ou qui ne se légitime pas comme telle. Lorsqu'elle fait valoir une prétention tendant à ce qu'un actionnaire transfère des actions à une autre personne, elle doit lui intenter un procès.</w:t>
      </w:r>
    </w:p>
    <w:p>
      <w:r>
        <w:t>Regesto Art. 684-686, 967 CO, trasferimento di azioni nominative. La società non può, per mezzo di un'iscrizione nel libro delle azioni, far divenire azionista una persona che non è proprietaria di azioni o che non si legittima come tale. Se pretende che un azionista è tenuto a trasferire delle azioni a un'altra persona, essa deve intentargli un processo.</w:t>
      </w:r>
    </w:p>
    <w:p>
      <w:pPr>
        <w:pStyle w:val="Heading2"/>
      </w:pPr>
      <w:r>
        <w:t>Erwägungen</w:t>
      </w:r>
    </w:p>
    <w:p>
      <w:r>
        <w:rPr>
          <w:b/>
        </w:rPr>
        <w:t>E. 1</w:t>
      </w:r>
    </w:p>
    <w:p>
      <w:r>
        <w:t>Die Aktiengesellschaft hat über die Eigentümer der Namenaktien ein Aktienbuch zu führen ( Art. 685 Abs. 1 OR ). Es bewirkt, dass im Verhältnis zu der Gesellschaft als Aktionär betrachtet wird, wer im Buch eingetragen ist ( Art. 685 Abs. 4 OR ). Das heisst nicht, die Gesellschaft könne bestimmen, wer Aktionär sei oder Anspruch habe, es zu werden, und sie könne ihm diese Eigenschaft, sei es überhaupt, sei es wenigstens im Verhältnis zur Gesellschaft dadurch verleihen, dass sie ihn in das Aktienbuch einträgt. Nur der auf der Aktie mit Namen genannte ursprüngliche Eigentümer und seine Rechtsnachfolger können in das Aktienbuch eingetragen werden. Das ergibt sich aus Art. 685 Abs. 2 OR , wonach die Eintragung einen Ausweis über die formrichtige Übertragung der Aktie voraussetzt. Wer eingetragen wird, ohne sich als Eigentümer ausgewiesen zu haben, kann sich nicht auf Art. 685 Abs. 4 OR berufen und darf von der Gesellschaft nicht in Anwendung dieser Bestimmung als Aktionär behandelt werden. Die Eintragung in das Aktienbuch bewirkt den Übergang des Eigentums an der Aktie nicht, sondern setzt ihn voraus. Das gilt selbst dann, wenn die Gesellschaft gemäss Art. 686 OR die Eintragung verweigern kann. Dieses Recht bedeutet nur, dass die Gesellschaft unter den statutarischen oder gesetzlichen BGE 87 II 249 S. 257 Voraussetzungen den Erwerber der Aktie nicht als Aktionär anzuerkennen braucht, dagegen nicht, dass sie jemanden, der das Eigentum nicht erworben hat oder sich darüber nicht ausweist, durch Eintragung in das Aktienbuch zum Aktionär machen könne. Damit der rechtsgeschäftliche Übergang der Aktie im Sinne des Art. 685 Abs. 2 OR formrichtig sei, muss der Veräusserer die Übertragung in einem Indossament oder in einer vom Wertpapier getrennten schriftlichen Erklärung verurkunden und dem Erwerber ausserdem den Besitz des Aktientitels verschaffen (Art. 684 Abs. 2, 967 Abs. 1 und 2 OR; BGE 61 II 332 , BGE 81 II 202 , BGE 86 II 98 ). Nur wenn diese Voraussetzungen erfüllt sind, wird der Erwerber durch Eintragung in das Aktienbuch im Verhältnis zu der Gesellschaft zum Aktionär.</w:t>
      </w:r>
    </w:p>
    <w:p>
      <w:r>
        <w:rPr>
          <w:b/>
        </w:rPr>
        <w:t>E. 2</w:t>
      </w:r>
    </w:p>
    <w:p>
      <w:r>
        <w:t>Gemäss Feststellung des Handelsgerichts hat Fritz die 73 Aktien, welche die Beklagte gemäss Beschluss ihres Verwaltungsrates vom 30. Januar/4. Februar 1960 im Aktienbuch als von ihm an Hickel abgetreten vermerkte, diesem nie zu Besitz übertragen. Die Beklagte hat das im Prozess zugegeben. Diese 73 Aktien wurden auch nicht an Hickel indossiert, noch durch eine von den Aktientiteln getrennte Erklärung an ihn abgetreten. Die Beklagte trug somit Hickel zu Unrecht als Erwerber dieser Aktien in das Aktienbuch ein. Der in § 4 der Statuten enthaltene Satz: "Für das Eigentum an den Aktien ist das von der Gesellschaft zu führende Aktienbuch massgebend", ändert hieran nichts. Er hat nicht den Sinn, die Gesellschaft könne jemanden selbst dann, wenn er den Ausweis über die formrichtige Übertragung der Aktien nicht erbracht hat, durch Eintragung in das Aktienbuch zum Eigentümer und Aktionär machen. Das widerspräche dem Art. 685 OR über die Voraussetzungen und Wirkung der Eintragung in das Aktienbuch. Der erwähnte Satz kann nichts anderes sagen als Art. 685 Abs. 4 in Verbindung mit Abs. 2, nämlich dass im Verhältnis zur Gesellschaft als Aktionär nur gelte, wer BGE 87 II 249 S. 258 auf Grund eines Ausweises über den formrichtigen Erwerb der Aktie in das Aktienbuch eingetragen wurde. Auch aus dem übrigen Inhalt des § 4 der Statuten kann die Beklagte nicht ableiten, sie habe dadurch, dass sie die 73 Aktien im Aktienbuch von Fritz auf Hickel überschrieb, diesen zum Eigentümer und Aktionär gemacht. § 4 Abs. 1 Satz 4 hat nur den Sinn, der Verwaltungsrat dürfe den Verkauf von Aktien an eine bestimmte Person untersagen, wenn es ihm, nachdem der Aktionär ihm die Verkaufsabsicht mitgeteilt hat, spätestens innert neunzig Tagen gelingt, eine andere Person (Aktionär oder Nichtaktionär) zum Kauf zu bewegen. Findet der Verwaltungsrat nicht rechtzeitig einen Ersatzkäufer, so sollen die Aktien "frei übertragbar", d.h. der Aktionär berechtigt sein, den von ihm selbst gewählten Käufer ohne Zustimmung des Verwaltungsrates zum Eigentümer zu machen und dessen Eintragung in das Aktienbuch zu erwirken. Es kann keine Rede davon sein, dass die genannte Statutenbestimmung dem Verwaltungsrat erlauben wolle, das Eigentum an den Aktientiteln und die Aktionärrechte durch eine Eintragung in das Aktienbuch selbstherrlich auf den Erwerber überzuführen, sei es auf den Ersatzkäufer, sei es auf den vom Veräusserer frei gewählten Käufer. Das widerspräche den Art. 684 Abs. 2, 685 Abs. 2 und 967 Abs. 1 und 2 OR. Ist der Aktionär nicht bereit, die Aktien formrichtig auf die dem Verwaltungsrat genehme Person zu übertragen, so bleiben sie Eigentum des Aktionärs, und dieser hat wie bis anhin das Stimmrecht aus ihnen. Wer als dem Verwaltungsrat genehmer Ersatzkäufer oder Käufer auf sie Anspruch zu haben glaubt, muss gegen den angeblichen Verkäufer auf Erfüllung klagen. Ob Hickel in diesem Sinne gegen Fritz Anspruch auf Übertragung von 73 Aktien hat, ist nicht zu entscheiden; diese Frage ist nicht Gegenstand des Prozesses. Es kommt auch nichts darauf an, dass Fritz am 21. März 1957 73 mit Zustimmung der Beklagten auf Bachofner indossierte Aktien aus den Händen gab und sie in den Besitz Bachofners gelangten. Dadurch erlangte die Beklagte BGE 87 II 249 S. 259 nicht die Möglichkeit, das Eigentum und die Aktionärrechte durch eine Eintragung in das Aktienbuch gegen den Willen der durch den Besitz und die Indossamente legitimierten Person auf Hickel zu übertragen. Wenn die Beklagte auf Grund der Verträge vom 15. Juni 1956 Anspruch zu haben glaubt, dass Hickel Eigentümer werde, und der durch den Besitz und die Indossamente Legitimierte das Eigentum nicht freiwillig überträgt, mag sie gegen ihn entsprechend klagen. Bleibt es somit dabei, dass die Beklagte die 73 Aktien im Aktienbuch zu Unrecht auf den Nichteigentümer Hickel überschrieb, so vermochte diese Eintragung ihm das Stimmrecht nicht zu verschaffen. Fragen kann sich nur, ob es zur Zeit, als die Generalversammlung die angefochtenen Wahlen traf, dem Kläger Fritz oder vielmehr dem Bachofner zugestanden habe.</w:t>
      </w:r>
    </w:p>
    <w:p>
      <w:r>
        <w:rPr>
          <w:b/>
        </w:rPr>
        <w:t>E. 3</w:t>
      </w:r>
    </w:p>
    <w:p>
      <w:r>
        <w:t>Unter Ziffer 3 des mit der Verlagsgenossenschaft für Pfäffikon und Bauma und mit Bachofner abgeschlossenen sog. Fusionsvertrages vom 15. Juni 1956 wurde bestimmt: "Gemäss beiliegender Vereinbarung vom 15. Juni 1956, abgeschlossen zwischen den Herren V. Fritz, Dr. W. Egli und J. Rüegg, verpflichtet sich Herr V. Fritz für sich sowie namens von Frau Rechsteiner und des Herrn J. Rüegg 88 Aktien und Herr Dr. Egli für sich und seine Gruppe 42 Aktien Herrn Bachofner zu den vereinbarten Bedingungen zu beschaffen." In der Vereinbarung, auf die in dieser Bestimmung verwiesen ist, erklärte Fritz sich bereit, von seinen 183 Aktien dem Bachofner 73 Stück zu verkaufen. Die Verpflichtung des Fritz lautete also auf Verkauf der Aktien an Bachofner; Fritz sollte Verkäufer, Bachofner Käufer sein. Auf Grund eines zwischen diesen beiden zustande gekommenen Kaufvertrages gelangten die 73 Aktien im Frühjahr 1957 in den Besitz Bachofners. Ob das ohne Wissen des Dr. Egli geschah, ja einer von ihm erteilten Weisung widersprach, ist unerheblich, denn Dr. Egli war nicht Partei des Kaufvertrages über diese Aktien. Es kommt auch nichts darauf an, ob die Rückindossierung und Rückgabe der Aktien durch Bachofner an Fritz BGE 87 II 249 S. 260 vom 20. Februar und 10. Juni 1958 wegen Nichtzahlung des Preises und der finanziellen Lage Bachofners erfolgte oder vielmehr deshalb, weil Fritz sich wegen des geheimen Vertrages zwischen Bachofner und Dr. Egli getäuscht sah. Tatsache ist, dass Bachofner den Kauf zur Zeit der Rückindossierung und Rückgabe der Aktien noch nicht erfüllt hatte und dass er mit Fritz einig war, ihn aufzuheben. Das stand im Belieben der beiden, denn sie allein hatten den Kauf abgeschlossen; Dr. Egli, Rüegg, die Beklagte und die Verlagsgenossenschaft für Pfäffikon und Bauma brauchten nicht zuzustimmen. Durch die Rückindossierung und Rückgabe der Aktien ging das Eigentum an den Papieren wieder auf Fritz über. Es trifft nicht zu, dass hiezu gemäss § 4 der Statuten die Zustimmung der Beklagten nötig gewesen wäre. Bachofner verkaufte dem Fritz die Aktien nicht und war daher nicht gehalten, den Verwaltungsrat zu benachrichtigen mit der Wirkung, dass dieser binnen neunzig Tagen einen anderen Käufer hätte suchen und die Übertragung auf Fritz hätte untersagen können. Dass auch die Aufhebung eines zwar seitens des Verkäufers, aber nicht auch seitens des Käufers erfüllten Kaufes und die Rückübertragung der Aktien an den Verkäufer unter § 4 der Statuten falle, sagt diese Bestimmung nicht. Die Rückübertragung bedurfte auch nicht deshalb der Zustimmung der Beklagten, weil diese und die Verlagsgenossenschaft für Pfäffikon und Bauma auf Grund des Vertrages vom 15. Juni 1956 glauben Anspruch erheben zu können, den geflüchteten und in Konkurs geratenen Bachofner als Aktionär abzulehnen und durch Hickel zu ersetzen. Sollte dieser Anspruch bestehen, so ergäbe sich daraus nicht, dass Bachofner die 73 Aktien statt an Fritz zurückzugeben unmittelbar auf Hickel zu übertragen hatte, sondern die Ansprecher könnten nur verlangen, dass Fritz an Stelle des von Bachofner nicht erfüllten Kaufes einen solchen mit Hickel abschliesse und die zurückgenommenen Aktien an diesen übertrage. BGE 87 II 249 S. 261 Die 73 Aktien waren somit zur Zeit der Generalversammlungen vom 20. Februar und 5. März 1960 Eigentum des Fritz. Dieser war auch durch das Aktienbuch als aus ihnen berechtigt ausgewiesen, wenn man über die unzulässige und daher ungültige Überschreibung auf Hickel hinwegsieht. Das Stimmrecht aus den 73 Aktien stand deshalb Fritz zu.</w:t>
      </w:r>
    </w:p>
    <w:p>
      <w:r>
        <w:rPr>
          <w:b/>
        </w:rPr>
        <w:t>E. 4</w:t>
      </w:r>
    </w:p>
    <w:p>
      <w:r>
        <w:t>Die Beklagte macht geltend, die Ungültigkeit der Überschreibung der 73 Aktien auf Hickel im Aktienbuch vermöchte an der Gültigkeit der angefochtenen Wahlen nichts zu ändern, weil sie zur Folge hätte, dass auch die Eintragung des Fritz als Eigentümers der aus dem Nachlass seines Vaters übernommenen 105 Aktien ungültig wäre, denn die Beklagte habe diese Eintragung nur unter der Bedingung vorgenommen, dass auch die Eintragung des Hickel als Erwerbers von 73 Aktien gültig sei; man dürfe nicht dem Kläger Fritz Rechtshandlungen zubilligen, die einem Rücktritt vom Vertrag vom 15. Juni 1956 gleichkämen, und anderseits die Beklagte bei Rechtshandlungen behaften, die sie in Vollziehung des gleichen Vertrages vornahm. In der Vereinbarung vom 15. Juni 1956 zwischen Dr. Egli, Rüegg und Fritz wurde die Zustimmung zur "Übertragung der 105 Aktien von Emil Fritz sel. auf V. E. Fritz" nicht von einer Bedingung abhängig gemacht, namentlich nicht von der Bedingung, dass Hickel Eigentümer von 73 Aktien des Klägers werde. Von Hickel als Erwerber war damals überhaupt noch nicht die Rede. Auch die Eintragung des Klägers als Eigentümers des 105 ererbten Aktien in das Aktienbuch erfolgte vorbehaltlos und bedingungslos. An den Generalversammlungen vom 20. Februar und 5. März 1960 wurde der Kläger wieder ohne jeden Vorbehalt als aus diesen 105 Aktien stimmberechtigt erklärt, obschon er entschieden gegen die Anerkennung Hickels als Aktionär aus 73 Aktien des Klägers protestierte. Von einer nur bedingten Anerkennung des Fritz als Aktionär aus den 105 ererbten Aktien kann daher nicht die Rede sein. Damit ist nicht gesagt, dass Dr. Egli in der Vereinbarung BGE 87 II 249 S. 262 vom 15. Juni 1956 seine Zustimmung zur "Übertragung" der 105 Aktien auf Fritz nicht deshalb erteilt habe, weil dieser sich unter anderem bereit erklärte, dem Bachofner 73 Aktien zu verkaufen. Ob dem so war, kann dahingestellt bleiben. Denn jedenfalls hatte die Aufhebung des Kaufes mit Bachofner, mag sie wegen Täuschung oder mag sie wegen der finanziellen Lage des Käufers erfolgt sein, nicht zur Folge, dass die Zustimmung des Dr. Egli zur Eintragung des Fritz als Erwerbers der 105 Aktien und damit auch diese Eintragung ungültig wäre. Sie ist das um so weniger, als Dr. Egli um den Hinfall des Kaufvertrages mit Bachofner wusste, als er am 30. Januar/4. Februar 1960 der Eintragung des Überganges der 105 Aktien auf Fritz zustimmte und sie am 8. Februar 1960 vollzog. Es stand ihm frei, das zu tun, selbst wenn er sich am 15. Juni 1956 zu dieser Rechtshandlung nur verpflichtet haben sollte, weil sich Fritz bereit erklärte, dem Bachofner 73 Aktien zu verkaufen. Fritz war somit am 20. Februar und 5. März 1960 ausser aus den 73 von Bachofner zurückerhaltenen auch aus den 105 ererbten Aktien stimmberechtigt.</w:t>
      </w:r>
    </w:p>
    <w:p>
      <w:r>
        <w:rPr>
          <w:b/>
        </w:rPr>
        <w:t>E. 5</w:t>
      </w:r>
    </w:p>
    <w:p>
      <w:r>
        <w:t>Der Berufungsantrag auf Abweisung beider Klagen richtet sich auch gegen die vorinstanzliche Feststellung, dass die Beklagte die Klägerin Frau Rechsteiner als aus 24 Aktien stimmberechtigt in das Aktienbuch einzutragen habe. Die Beklagte führt indes in der Berufungsschrift nicht aus, inwiefern diese Feststellung Bundesrecht verletze ( Art. 55 Abs. 1 lit. c OG ). Auf diesen Punkt der Berufung kann daher nicht eingetreten werden.</w:t>
      </w:r>
    </w:p>
    <w:p>
      <w:r>
        <w:rPr>
          <w:b/>
        </w:rPr>
        <w:t>E. 6</w:t>
      </w:r>
    </w:p>
    <w:p>
      <w:r>
        <w:t>Wirken Personen, die zur Teilnahme an der Generalversammlung nicht befugt sind, bei einem Beschlusse mit, so kann dieser von jedem Aktionär angefochten werden, es wäre denn, die Gesellschaft weise nach, dass die unzulässige Mitwirkung den Beschluss nicht beeinflusste ( Art. 691 Abs. 3 OR ). Dass die Beklagte in beiden Generalversammlungen den Klägern zusammen 83 Stimmen zu wenig, dem Hickel BGE 87 II 249 S. 263 dagegen 73 zu viel zuerkannte, hat die Ergebnisse der angefochtenen Wahlen beeinflusst. Da Frau Rechsteiner 24 statt nur 14 Stimmen zustanden, verfügten die anwesenden oder vertretenen Aktionäre in beiden Versammlungen über zusammen 306 Stimmen. Davon kamen Fritz 183 und Frau Rechsteiner 24 zu. Die beiden Kläger verfügten also mit zusammen 207 Stimmen über das absolute Mehr. Die angefochtenen Wahlen halten daher nicht stand.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