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213</w:t>
      </w:r>
    </w:p>
    <w:p>
      <w:r>
        <w:t>Bundesgericht (BGE), 1961-01-01, DE</w:t>
      </w:r>
    </w:p>
    <w:p>
      <w:r>
        <w:rPr>
          <w:b/>
        </w:rPr>
        <w:t xml:space="preserve">Quelle: </w:t>
      </w:r>
      <w:r>
        <w:t>https://mcp.opencaselaw.ch/entscheid/bge_BGE_87_II_213</w:t>
      </w:r>
    </w:p>
    <w:p>
      <w:r>
        <w:t>FR: ATF 87 II 213</w:t>
      </w:r>
    </w:p>
    <w:p>
      <w:r>
        <w:t>IT: DTF 87 II 213</w:t>
      </w:r>
    </w:p>
    <w:p>
      <w:pPr>
        <w:pStyle w:val="Heading2"/>
      </w:pPr>
      <w:r>
        <w:t>Regeste</w:t>
      </w:r>
    </w:p>
    <w:p>
      <w:r>
        <w:t>Regeste Örtliche Zuständigkeit zur Entmündigung gemäss Art. 371 ZGB; Art. 376: Ein im Kanton seines letzten Wohnsitzes verurteilter und dort seine Zuchthausstrafe verbüssender Bürger eines andern Kantons ist - trotz mehreren Monaten unsteten Aufenthalts vor seiner Verhaftung - am (fiktiven) Wohnsitz gemäss Art. 24 Abs. 1 ZGB, nicht im Heimatkanton zu entmündigen.</w:t>
      </w:r>
    </w:p>
    <w:p>
      <w:r>
        <w:t>Regeste For tutélaire lorsque l'interdiction est prononcée en vertu de l'art. 371 CC; art. 376: celui qui a été condamné dans le canton où il a eu son dernier domicile et qui y purge une peine deréclusion doit être interdit, même s'il est ressortissant d'un autre canton et bien qu'il n'ait pas eu de domicile fixe durant plusieurs mois précédant son arrestation, au domicile (fictif) de l'art. 24 al. 1 CC, et non pas dans son canton d'origine.</w:t>
      </w:r>
    </w:p>
    <w:p>
      <w:r>
        <w:t>Regesto Foro della tutela nel caso di interdizione previsto nell'art. 371 CC; art. 376: il cittadino che è stato condannato nel Cantone dell'ultimo domicilio e che vi sconta una pena di reclusione - pur essendo attinente di un altro Cantone e nonostante non abbia avuto domicilio fisso durante parecchi mesi precedenti il suo arresto - deve essere interdetto al luogo del domicilio (fittizio) di cui all'art. 24 cpv. 1 CC, e non nel Cantone d'attinenza.</w:t>
      </w:r>
    </w:p>
    <w:p>
      <w:pPr>
        <w:pStyle w:val="Heading2"/>
      </w:pPr>
      <w:r>
        <w:t>Erwägungen</w:t>
      </w:r>
    </w:p>
    <w:p>
      <w:r>
        <w:rPr>
          <w:b/>
        </w:rPr>
        <w:t>E. 1</w:t>
      </w:r>
    </w:p>
    <w:p>
      <w:r>
        <w:t>Soweit der Berufungskläger Anträge stellt, die über die Aufhebung der angefochtenen Bevormundung hinausgehen, kann darauf in diesem Berufungsverfahren schon deshalb nicht eingetreten werden, weil diese Begehren nicht Gegenstand der Entscheide der Vorinstanzen bildeten.</w:t>
      </w:r>
    </w:p>
    <w:p>
      <w:r>
        <w:rPr>
          <w:b/>
        </w:rPr>
        <w:t>E. 2</w:t>
      </w:r>
    </w:p>
    <w:p>
      <w:r>
        <w:t>Der Interdizend anerkennt ausdrücklich, dass er gemäss Art. 371 ZGB bevormundet werden muss, und verlangt dies auch; er bestreitet lediglich der Heimatgemeinde BGE 87 II 213 S. 216 Wohlen AG die örtliche Zuständigkeit dafür. Nur diese Frage steht zur Prüfung. Gemäss Art. 376 Abs. 1 ZGB erfolgt die Bevormundung am Wohnsitz des Interdizenden. Nach Abs. 2 dieser Bestimmung können die Kantone für ihre im Kanton wohnenden Bürger die vormundschaftlichen Behörden der Heimat als zuständig erklären, insofern auch die Armenunterstützung ganz oder teilweise der Heimatgemeinde obliegt. Die Vorinstanzen berufen sich indessen nicht auf letztere Bestimmung, und mit Recht, da - wie immer die Armenunterstützung im Aargau örtlich geregelt sei - Art. 376 Abs. 2 in casu nicht anwendbar wäre, weil K. nicht im Kanton Aargau wohnt. Die Zuständigkeit der Entmündigungsbehörden richtet sich daher grundsätzlich nach Art. 376 Abs. 1, d.h. zuständig sind die Behörden am Wohnsitz des Interdizenden. Der Wohnsitz einer Person richtet sich nach Art. 23 ff. ZGB . Nach Art. 24 Abs. 1 bleibt der einmal begründete Wohnsitz bestehen bis zum Erwerb eines neuen. Ist ein früher begründeter Wohnsitz nicht nachweisbar (oder ist ein im Ausland begründeter Wohnsitz aufgegeben und in der Schweiz kein neuer gegründet worden), so gilt nach Art. 24 Abs. 2 der Aufenthaltsort als Wohnsitz. Vom Prinzip des fiktiven Wohnsitzes nach Art. 24 Abs. 1 hat jedoch die Praxis - mit Billigung der Doktrin - Ausnahmen zugelassen (vgl. EGGER Komm. zu Art. 376, N. 8 und 9). So greift anstelle des fiktiven der Heimatort als Wohnsitz Platz für Personen, die von der Heimatbehörde dauernd in Obhut genommen werden, weil sie aus dem bisherigen Wohnsitzkanton ausgewiesen wurden ( BGE 65 II 97 ff.) oder sonst armenrechtlich betreut werden müssen ( BGE 69 II 1 ff.). Die Konferenz der Vormundschaftsdirektoren von 1950 hat den Behörden der Kantone empfohlen, für die Bevormundung die heimatlichen Behörden in weitern Fällen als zuständig zu betrachten, insbesondere gegenüber Personen, die sich ausserhalb des Heimatkantons aufhalten, ohne längere Zeit am gleichen Orte zu verweilen (Vaganten), solange BGE 87 II 213 S. 217 die Wohnsitzbehörde nicht eine entsprechende vormundschaftliche Massnahme getroffen hat oder zu treffen bereit ist (vgl. Zeitschrift für Vormundschaftswesen, Band 5, S. 73 ff., bes. S. 75 ff.). Auf diese Empfehlungen beruft sich in casu die Vorinstanz. Es kann nicht verkannt werden, dass damit praeter legem eine Zuständigkeit der Heimatbehörden eingeführt wird, während das Bundesgericht in den erwähnten Entscheiden auf Grund von Art. 23 Abs. 1 ZGB und in Auslegung dieses Grundsatzes den Heimatort als Wohnsitz gelten lässt, weil der Bürger durch den Willen der fürsorgenden Heimatbehörde und ohne dass dabei auf seinen eigenen Willen - seine "Absicht" im Sinne von Art. 23 Abs. 1 - etwas ankäme, effektiv im Heimatkanton den Mittelpunkt seiner Lebensbeziehungen angewiesen erhalten hat. Es kann dahingestellt bleiben, ob die in den Empfehlungen postulierte Praxis grundsätzlich mit dem Gesetze vereinbar ist. Jedenfalls liegen im hier streitigen Falle keine Gründe vor, eine solche Praxis von Bundesrechtswegen zu sanktionieren. Der Berufungskläger hatte bis anfangs Dezember 1957 in Zürich Wohnsitz, was ohne Schwierigkeiten festgestellt werden konnte. Gemäss Art. 24 Abs. 1 ZGB blieb dieser Wohnsitz bis zum Erwerb eines neuen bestehen. Nach den - verbindlichen - Feststellungen der Vorinstanz hat K. seither keinen neuen Wohnsitz erworben. Es besteht umso weniger Anlass, die Heimatbehörden entgegen Art. 24 Abs. 1 als zuständig zu betrachten, als der Interdizend sich nur rund 10 Monate (Dezember 1957 bis Oktober 1958) anderswo als an seinem zivilrechtlichen Wohnsitz Zürich aufgehalten hat. Dazu kommt, dass das Schwergewicht seiner deliktischen Tätigkeit, die zu seiner neuen Verurteilung führte, offenbar im Kanton Zürich lag und dass er die Strafe in einer Anstalt dieses Kantons verbüsst, somit auch sein gegenwärtiger effektiver Existenzmittelpunkt nicht im Heimatkanton liegt. Unter diesen Umständen sind zu seiner Entmündigung gemäss BGE 87 II 213 S. 218 Art. 371 ZGB nicht die aargauischen, sondern die zürcherischen Behörden zuständig. Ganz ausser Betracht fallen - entgegen der Auffassung des Berufungsklägers selbst - die Behörden des Kantons Bern; denn wenn man schon, seiner Auffassung in diesem Punkte folgend, einen früher begründeten Wohnsitz als nicht nachweisbar und daher gemäss Art. 24 Abs. 2 ZGB den Aufenthaltsort als massgebend betrachten wollte, so käme man wiederum zur Zuständigkeit der Behörden des Kantons Zürich; denn bei Eintritt des Bevormundungsgrundes des Art. 371 ZGB , der Verurteilung zur Zuchthausstrafe, hielt er sich - wenn auch nicht freiwillig - in diesem Kanton auf (vgl. BGE 80 II 107 ).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