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II 203</w:t>
      </w:r>
    </w:p>
    <w:p>
      <w:r>
        <w:t>Bundesgericht (BGE), 1961-01-01, DE</w:t>
      </w:r>
    </w:p>
    <w:p>
      <w:r>
        <w:rPr>
          <w:b/>
        </w:rPr>
        <w:t xml:space="preserve">Quelle: </w:t>
      </w:r>
      <w:r>
        <w:t>https://mcp.opencaselaw.ch/entscheid/bge_BGE_87_II_203</w:t>
      </w:r>
    </w:p>
    <w:p>
      <w:r>
        <w:t>FR: ATF 87 II 203</w:t>
      </w:r>
    </w:p>
    <w:p>
      <w:r>
        <w:t>IT: DTF 87 II 203</w:t>
      </w:r>
    </w:p>
    <w:p>
      <w:pPr>
        <w:pStyle w:val="Heading2"/>
      </w:pPr>
      <w:r>
        <w:t>Regeste</w:t>
      </w:r>
    </w:p>
    <w:p>
      <w:r>
        <w:t>Regeste Nichtigkeitsbeschwerde, Art. 68 Abs. 1 lit. a OG. Als eidgenössisches Recht fällt nur das Zivilrecht in Betracht, nicht auch eidgenössisches Verfassungsrecht (Erw. 2 a). Es bedeutet keine Verletzung der bundesrechtlichen Vorschriften über die Abtretung (Art. 164 ff. OR), wenn ein kantonaler Richter eine Forderungsabtretung als nichtig erklärt, weil sie zur Umgehung der kantonalrechtlichen Vorschriften über den Anwaltsberuf erfolgt sei (Erw. 2 b).</w:t>
      </w:r>
    </w:p>
    <w:p>
      <w:r>
        <w:t>Regeste Recours en nullité, art. 68 al. 1 litt. a OJ. On ne doit entendre, par "droit fédéral", que le droit civil, non le droit constitutionnel fédéral (consid. 2 a). Le juge cantonal ne viole pas les prescriptions fédérales sur la cession (art. 164 et suiv. CO) lorsqu'il déclare nulle une cession de créance qui tend à éluder les règles cantonales sur la profession d'avocat (consid. 2 b).</w:t>
      </w:r>
    </w:p>
    <w:p>
      <w:r>
        <w:t>Regesto Ricorso per nullità, art. 68 cpv. 1 lett. a OG. Per diritto federale devesi intendere solo il diritto civile, non il diritto costituzionale federale (consid. 2 a). Il giudice cantonale non viola le prescrizioni federali sulla cessione (art. 164 sgg. CO), se dichiara nulla una cessione di credito tendente a eludere le regole cantonali sulla professione d'avvocato (consid. 2 b).</w:t>
      </w:r>
    </w:p>
    <w:p>
      <w:pPr>
        <w:pStyle w:val="Heading2"/>
      </w:pPr>
      <w:r>
        <w:t>Erwägungen</w:t>
      </w:r>
    </w:p>
    <w:p>
      <w:r>
        <w:rPr>
          <w:b/>
        </w:rPr>
        <w:t>E. 1</w:t>
      </w:r>
    </w:p>
    <w:p>
      <w:r>
        <w:t>Angesichts der Bezeichnung als "Nichtigkeitsbeschwerde" und des ausdrücklichen Hinweises auf Art. 68 f. OG sowie auf die 20-tägige Beschwerdefrist für Nichtigkeitsbeschwerden steht ausser Zweifel, dass es sich bei der vorliegenden Beschwerde um eine Nichtigkeitsbeschwerde im Sinne der Art. 68 ff. OG handelt. Die Nichtigkeitsbeschwerde ist aber kein Rechtsmittel, mit der ein kantonaler Entscheid zur uneingeschränkten rechtlichen Überprüfung an das Bundesgericht weitergezogen werden könnte; es können mit ihr vielmehr nur die in Art. 68 OG ausdrücklich und abschliessend aufgezählten Nichtigkeitsgründe geltend gemacht werden.</w:t>
      </w:r>
    </w:p>
    <w:p>
      <w:r>
        <w:rPr>
          <w:b/>
        </w:rPr>
        <w:t>E. 2</w:t>
      </w:r>
    </w:p>
    <w:p>
      <w:r>
        <w:t>Von den Nichtigkeitsgründen des Art. 68 OG fällt nur der in lit. a umschriebene in Betracht. Danach kann mit der Nichtigkeitsbeschwerde gerügt werden, es sei BGE 87 II 203 S. 206 "statt des massgebenden eidgenössischen Rechts kantonales... Recht angewendet worden." Der Beschwerdeführer erachtet den genannten Nichtigkeitsgrund als gegeben, weil die Vorinstanz auf die kantonalrechtlichen Vorschriften des bernischen Anwaltsgesetzes von 1840 und des Kreisschreibens des bernischen Obergerichts vom 15. April 1939 an die Richterämter abgestellt habe, statt vom Verfassungsgrundsatz der Handels- und Gewerbefreiheit ( Art. 31 BV ) und von den Bestimmungen des OR über die Forderungsabtretung ( Art. 164 ff. OR ) auszugehen. a) Die Rüge der Verletzung der Handels- und Gewerbefreiheit kann im vorliegenden Verfahren nicht gehört werden. Denn als eidgenössisches Recht im Sinne des Art. 68 lit. a OG kommt nur das Zivilrecht in Betracht, nicht dagegen auch das eidgenössische Verfassungsrecht. Dessen Verletzung kann nur mit staatsrechtlicher Beschwerde gerügt werden (BIRCHMEIER, Bundesrechtspflege, S. 256/7). b) Es ist daher einzig zu prüfen, ob die Vorinstanz mit der Anwendung der kantonalrechtlichen Vorschriften über den Anwaltsberuf die Bestimmungen des OR über die Abtretung von Forderungen verletzt habe. Das ist zu verneinen. Wohl sind nach den vom Beschwerdeführer angerufenen Bestimmungen des Bundeszivilrechts die Abtretung von Forderungen gemäss Art. 164 ff. und ebenso die sog. Inkassozession, d.h. die fiduziarische Abtretung von Forderungen zum Zwecke ihrer Eintreibung, grundsätzlich frei. Anderseits ist es aber den Kantonen überlassen, das Anwaltsrecht gesetzgeberisch zu ordnen und insbesondere die Ausübung des Anwaltsberufs von einer besonderen kantonalen Bewilligung abhängig zu machen. Auf Grund dieser Befugnis durfte der Kanton Bern aber auch durch direkte Anordnung oder im Wege der Gerichtspraxis Sicherungen dagegen vorsehen, dass ein Unbefugter auf dem Umweg über die Forderungsabtretung die dem Anwalt BGE 87 II 203 S. 207 vorbehaltene berufsmässige Parteivertretung in Zivilprozessen ausübe. Für eine derartige Umgehung kantonaler Vorschriften kann das Bundesrecht natürlich nicht Schutz bieten. Eine zum Zwecke blosser Umgehung des kantonalen Anwaltsrechts vorgenommene Abtretung hat vielmehr einen gesetzlich unerlaubten Inhalt und ist daher gemäss Art. 20 OR nichtig ( BGE 56 II 198 ; nicht veröffentlichter Entscheid der I. Zivilabteilung vom 26. Januar 1953 i.S. Wüthrich gegen Heimgartner; SJZ 1961 S. 209 Nr. 28; MADAY, Die sog. Gesetzesumgehung, insbes. im schweiz. OR, S. 122). Im vorliegenden Fall steht nun nach den zutreffenden Ausführungen der Vorinstanz ausser Zweifel, dass es sich bei der Abtretung der streitigen Forderung um ein Umgehungsgeschäft handelt, das dem Beschwerdeführer ermöglichen sollte, vor Gericht aufzutreten, obwohl er das bernische Anwaltspatent nicht besitzt. Dies ergibt sich eindeutig aus den tatsächlichen und daher gemäss Art. 74 in Verbindung mit Art. 63 Abs. 2 OG für das Bundesgericht verbindlichen Feststellungen der Vorinstanz, wonach der Beschwerdeführer einerseits zunächst die streitige Forderung als Vertreter des Gläubigers Kohler einzutreiben versuchte, und dass er sich anderseits gewerbsmässig schwer einbringliche Forderungen zum Inkasso abtreten lasse. Der Beschwerdeführer, der im kantonalen Verfahren zunächst eine etwas abweichende Darstellung gegeben hatte (Abtretung der Forderung an ihn zahlungshalber), erklärt in der Beschwerdeschrift selbst, weil die Parteivertretung vor Gericht im Kanton Bern nur den patentierten Fürsprechern zustehe, seien "die Inkassobureaux gezwungen, wenn ein Auftraggeber sie anstelle eines Fürsprechers für das Inkasso wähle, derartige Forderungen zu kaufen oder sich dieselben unter Berücksichtigung einer Verdienstmarge zedieren zu lassen." Angesichts dieses vom Beschwerdeführer zugegebenen Sachverhalts liegt die Umgehung der Vorschriften des bernischen Anwaltsgesetzes auf der Hand. BGE 87 II 203 S. 208 Die Vorinstanz hat somit nicht zu Unrecht das kantonale Anwaltsrecht anstelle eidgenössischen Zivilrechts angewendet. Der Nichtigkeitsgrund des Art. 68 lit. a OG ist daher nicht gegeben.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