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143</w:t>
      </w:r>
    </w:p>
    <w:p>
      <w:r>
        <w:t>Bundesgericht (BGE), 1961-01-01, DE</w:t>
      </w:r>
    </w:p>
    <w:p>
      <w:r>
        <w:rPr>
          <w:b/>
        </w:rPr>
        <w:t xml:space="preserve">Quelle: </w:t>
      </w:r>
      <w:r>
        <w:t>https://mcp.opencaselaw.ch/entscheid/bge_BGE_87_II_143</w:t>
      </w:r>
    </w:p>
    <w:p>
      <w:r>
        <w:t>FR: ATF 87 II 143</w:t>
      </w:r>
    </w:p>
    <w:p>
      <w:r>
        <w:t>IT: DTF 87 II 143</w:t>
      </w:r>
    </w:p>
    <w:p>
      <w:pPr>
        <w:pStyle w:val="Heading2"/>
      </w:pPr>
      <w:r>
        <w:t>Regeste</w:t>
      </w:r>
    </w:p>
    <w:p>
      <w:r>
        <w:t>Regeste Genugtuung wegen Verletzung in den persönlichen Verhältnissen durch Nichteinhaltung eines Dienstvertrages. Art. 28 ZGB, Art. 49 OR.</w:t>
      </w:r>
    </w:p>
    <w:p>
      <w:r>
        <w:t>Regeste Réparation morale pour atteinte aux intérêts personnels en cas de non exécution d'un contrat de travail. Art. 28 CC, art. 49 CO.</w:t>
      </w:r>
    </w:p>
    <w:p>
      <w:r>
        <w:t>Regesto Riparazione morale per pregiudizio delle relazione personali in caso d'inadempimento di un contratto di lavoro. Art. 28 CC, art. 49 CO.</w:t>
      </w:r>
    </w:p>
    <w:p>
      <w:pPr>
        <w:pStyle w:val="Heading2"/>
      </w:pPr>
      <w:r>
        <w:t>Erwägungen</w:t>
      </w:r>
    </w:p>
    <w:p>
      <w:r>
        <w:rPr>
          <w:b/>
        </w:rPr>
        <w:t>E. 5</w:t>
      </w:r>
    </w:p>
    <w:p>
      <w:r>
        <w:t>a) Die Vorinstanz hat den Klägern eine Genugtuungssumme von Fr. 5'000.-- zugesprochen, weil die BGE 87 II 143 S. 145 Beklagte durch die Nichteinhaltung des Vertrages Schnyder in seinen persönlichen Verhältnissen schwer verletzt habe. Die Beklagte bestreitet, dass die Voraussetzungen für die Zuerkennung eines Genugtuungsanspruches erfüllt seien. b) Die Nichterfüllung eines Vertrages durch die eine Partei vermag für sich allein der andern noch keinen Genugtuungsanspruch zu verschaffen. Ein solcher kann vielmehr nur in Betracht kommen, wenn die Vertragsverletzung mit Rücksicht auf ihre Art und Weise oder wegen der besonderen Umstände, unter denen sie erfolgte, zugleich eine Verletzung des Betroffenen in seinen persönlichen Verhältnissen im Sinne des Art. 28 ZGB darstellt und darum eine unerlaubte Handlung gemäss Art. 41 OR bedeutet. Überdies ist gemäss Art. 49 OR eine besondere Schwere sowohl der Verletzung des Betroffenen als auch des Verschuldens auf seiten des Verletzers erforderlich ( BGE 76 II 108 f.). Im vorliegenden Falle darf das Erfordernis der besonderen Schwere des Verschuldens der Beklagten ohne Bedenken bejaht werden. Wie sich aus den Feststellungen der Vorinstanz ergibt, schloss die Beklagte den Dienstvertrag mit Schnyder einzig und allein ab, um an Stelle des letzteren im Berufsregister eingetragen zu werden. Als sie dieses Ziel erreicht hatte, schob sie Schnyder beiseite und setzte sich über die vertraglich übernommene Pflicht, diesem durch Übertragung besonders zu honorierender Aufträge einen seinem früheren Einkommen ungefähr entsprechenden Verdienst zu verschaffen, in rücksichtsloser Weise hinweg, indem sie Schnyder immer mehr ausschaltete. Die ganze Art ihres Vorgehens zeigt, dass sie von allem Anfang an die Absicht hatte, Schnyder lediglich als Werkzeug für die Erreichung des Ziels der Eintragung im Berufsregister zu benutzen, sich der Erbringung der vertraglich zugesicherten Gegenleistung aber so rasch als möglich zu entziehen. Dieses Vorgehen verrät BGE 87 II 143 S. 146 eine gegen Treu und Glauben verstossende Gesinnung, die den Vorwurf der besonderen Schwere des Verschuldens rechtfertigt. Für Schnyder bedeutete das Verhalten der Beklagten nicht bloss das Ausbleiben einer Vertragserfüllung, wie sie im Geschäftsleben etwa vorkommt, sondern dieses Verhalten wirkte sich bei ihm als eigentliche Verletzung in den persönlichen Verhältnissen von besonderer Schwere aus. Infolge seiner Löschung im Berufsregister war für ihn ein Rückgang der Aufträge von Dritten zu erwarten gewesen, zumal ihm von den Walliser Unternehmern verübelt wurde, dass er der Beklagten den Eintrag im Berufsregister ermöglicht hatte. Das Ausbleiben der von der Beklagten vertraglich zugesicherten Zuweisung von Aufträgen hatte deshalb praktisch die Vernichtung der geschäftlichen Existenz Schnyders und im Anschluss daran eine Schädigung seines persönlichen und beruflichen Ansehens zur Folge. Dies musste Schnyder um so härter treffen, als er vorher nach den Ausführungen der Vorinstanz in der Öffentlichkeit des Kantons Wallis als Kulturingenieur, als Fachmann und Projektverfasser für Strassenbauten und als Mitglied des Grossen Rates hohes Ansehen genossen hatte. Endlich führte gemäss verbindlicher Feststellung der Vorinstanz die erlittene Kränkung bei Schnyder zu einer Verschlechterung seines ohnehin geschwächten Gesundheitszustandes. c) Die Voraussetzungen für die Zusprechung einer Genugtuungssumme sind daher erfüllt. Die Höhe des von der Vorinstanz zugesprochenen Betrages wird von der Berufung mit Recht nicht angefochten; denn mit der Festsetzung der Genugtuungssumme auf Fr. 5'000.-- hat die Vorinstanz den Rahmen des ihr zustehenden Ermessens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