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129</w:t>
      </w:r>
    </w:p>
    <w:p>
      <w:r>
        <w:t>Bundesgericht (BGE), 1961-01-01, DE</w:t>
      </w:r>
    </w:p>
    <w:p>
      <w:r>
        <w:rPr>
          <w:b/>
        </w:rPr>
        <w:t xml:space="preserve">Quelle: </w:t>
      </w:r>
      <w:r>
        <w:t>https://mcp.opencaselaw.ch/entscheid/bge_BGE_87_II_129</w:t>
      </w:r>
    </w:p>
    <w:p>
      <w:r>
        <w:t>FR: ATF 87 II 129</w:t>
      </w:r>
    </w:p>
    <w:p>
      <w:r>
        <w:t>IT: DTF 87 II 129</w:t>
      </w:r>
    </w:p>
    <w:p>
      <w:pPr>
        <w:pStyle w:val="Heading2"/>
      </w:pPr>
      <w:r>
        <w:t>Regeste</w:t>
      </w:r>
    </w:p>
    <w:p>
      <w:r>
        <w:t>Regeste Entmündigungsverfahren. 1. Ein Ehegatte kann sich der Entmündigung des andern nicht in seinem eigenen Namen widersetzen und ist gemäss Art. 29 Abs. 2 OG grundsätzlich auch nicht befugt, den andern im Verfahren vor Bundesgericht zu vertreten. 2. Aufhebung eines Entmündigungsbeschlusses wegen Verletzung der Vorschriften über die vorgängige Anhörung (Art. 374 ZGB). Wird dieser Verfahrensmangel erst vor Bundesgericht gerügt, so liegt darin nicht ein neues Vorbringen, das nach Art. 55 lit. c OG unzulässig wäre.</w:t>
      </w:r>
    </w:p>
    <w:p>
      <w:r>
        <w:t>Regeste Procédure d'interdiction. 1. Un époux ne peut s'opposer en son propre nom à l'interdiction de son conjoint et n'est en principe pas autorisé à le représenter dans la procédure devant le Tribunal fédéral (art. 29 al. 2 OJ). 2. Annulation d'une décision prononçant l'interdiction, pour violation des prescriptions sur le droit d'être préalablement entendu (art. 374 CC). Exciper de cette irrégularité de la procédure devant le Tribunal fédéral seulement, ce n'est pas soulever un moyen nouveau, irrecevable selon l'art. 55 litt. c OJ.</w:t>
      </w:r>
    </w:p>
    <w:p>
      <w:r>
        <w:t>Regesto Procedura d'interdizione. 1. Un coniuge non puó opporsi in proprio nome all'interdizione dell'altro coniuge e non è di massima autorizzato a rappresentarlo nella procedura davanti al Tribunale federale (art. 29 cpv. 2 OG). 2. Annullamento di una decisione d'interdizione per violazione delle prescrizioni sul diritto di essere previamente sentiti (art. 374 CC). Se questa infrazione procedurale è fatta valere solo davanti al Tribunale federale, essa non costituisce un fatto nuovo, inammissibile nel senso dell'art. 55 lett. c OG.</w:t>
      </w:r>
    </w:p>
    <w:p>
      <w:pPr>
        <w:pStyle w:val="Heading2"/>
      </w:pPr>
      <w:r>
        <w:t>Erwägungen</w:t>
      </w:r>
    </w:p>
    <w:p>
      <w:r>
        <w:rPr>
          <w:b/>
        </w:rPr>
        <w:t>E. 1</w:t>
      </w:r>
    </w:p>
    <w:p>
      <w:r>
        <w:t>Nach Art. 29 Abs. 2 OG können in Zivil- und Strafsachen unter einem hier nicht zutreffenden Vorbehalt nur patentierte Anwälte sowie die Rechtslehrer an schweizerischen Hochschulen als Parteivertreter vor Bundesgericht auftreten. Der Ehemann der zu Entmündigenden war daher nicht befugt, als deren Vertreter gegen den Entscheid des Regierungsrates die Berufung an das Bundesgericht zu erklären. Er ist aber auch nicht berechtigt, sich ihrer Entmündigung in seinem eigenen Namen zu widersetzen. Art. 433 Abs. 3 ZGB , wonach ausser dem Bevormundeten jedermann, der ein Interesse hat, die Aufhebung der (rechtskräftig angeordneten) Vormundschaft beantragen kann, darf nicht ausdehnend ausgelegt werden ( BGE 64 II 181 ). Soweit die vorliegende Berufung vom Ehemann der zu Entmündigenden ausgeht, ist also darauf nicht einzutreten (wogegen der Regierungsrat durch das Bundesrecht nicht gehindert war, auf den an ihn gerichteten Rekurs einzutreten, soweit der Ehemann ihn gemäss dem letzten Absatz der Rekursschrift im Namen BGE 87 II 129 S. 131 der Ehefrau eingereicht hatte). Die Berufung ist jedoch, da Frau H. die Berufungsschrift mitunterzeichnet hat, als von ihr persönlich eingelegte Berufung wirksam.</w:t>
      </w:r>
    </w:p>
    <w:p>
      <w:r>
        <w:rPr>
          <w:b/>
        </w:rPr>
        <w:t>E. 2</w:t>
      </w:r>
    </w:p>
    <w:p>
      <w:r>
        <w:t>Wegen Verschwendung, Trunksucht, lasterhaften Lebenswandels oder der Art und Weise ihrer Vermögensverwaltung darf eine Person nach Art. 374 Abs. 1 ZGB nicht entmündigt werden, ohne dass sie vorher angehört worden ist. Soll eine Person nach Art. 370 ZGB entmündigt werden, ist ihre Anhörung (vgl. hiezuBGE 40 II 182ff., BGE 84 II 146 ff.) also unerlässlich. Die Entmündigung wegen Geisteskrankheit oder Geistesschwäche darf gemäss Art. 374 Abs. 2 ZGB nur nach Einholung des Gutachtens von Sachverständigen erfolgen, das sich auch über die Zulässigkeit einer vorgängigen Anhörung des zu Entmündigenden auszusprechen hat. Hieraus folgt, dass die Anhörung einer Person, die nach Art. 369 ZGB entmündigt werden soll, ohne vorherige Befragung des Sachverständigen über deren Zulässigkeit nicht verweigert werden darf ( BGE 70 II 75 ). Nach den vorliegenden Akten ist die Berufungsklägerin gemäss Art. 369 und 370 ZGB entmündigt worden, ohne dass die kantonalen Behörden sie angehört hätten und ohne dass der Sachverständige befragt worden wäre, ob ihre Anhörung zulässig sei. Die kantonalen Instanzen haben sich also bei der Entmündigung der Berufungsklägerin über Art. 374 ZGB (und die in Ausführung dieser Vorschrift erlassenen §§ 48/49 des kantonalen Einführungsgesetzes zum ZGB) hinweggesetzt. Der Regierungsrat bestreitet dies nicht, macht aber geltend, dieser "Einwand" sei vor ihm nicht erhoben worden und könne daher im Berufungsverfahren vor Bundesgericht nicht gehört werden. Diese Auffassung ist unrichtig. Indem sich die Berufungsklägerin vor Bundesgericht darauf beruft, dass im kantonalen Verfahren die Vorschrift von Art. 374 ZGB ausseracht gelassen worden sei, bringt sie nicht neue Tatsachen oder Einreden vor, was nach Art. 55 lit. c OG unzulässig wäre. Vielmehr BGE 87 II 129 S. 132 macht sie damit die Verletzung einer bundesrechtlichen Verfahrensvorschrift geltend, die vor Bundesgericht unabhängig davon gerügt werden kann, ob schon vor der obern kantonalen Instanz darauf hingewiesen worden sei oder nicht. Haben die kantonalen Behörden eineEntmündigung unter Verletzung von Art. 374 ZGB angeordnet, so ist der angefochtene Entscheid aufzuheben, ohne dass anhand der vorliegenden Akten das Vorhandensein eines Entmündigungsgrundes zu prüfen wäre. Die luzernischen Behörden sind aber immerhin darauf hinzuweisen, dass sie bei der neuen Entscheidung, die auf die gebotene Aktenergänzung folgen muss, BGE 85 II 457 ff. (Erw. 4 und 5, S. 462/63) zu beachten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