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III 64</w:t>
      </w:r>
    </w:p>
    <w:p>
      <w:r>
        <w:t>Bundesgericht (BGE), 1961-01-01, DE</w:t>
      </w:r>
    </w:p>
    <w:p>
      <w:r>
        <w:rPr>
          <w:b/>
        </w:rPr>
        <w:t xml:space="preserve">Quelle: </w:t>
      </w:r>
      <w:r>
        <w:t>https://mcp.opencaselaw.ch/entscheid/bge_BGE_87_III_64</w:t>
      </w:r>
    </w:p>
    <w:p>
      <w:r>
        <w:t>FR: ATF 87 III 64</w:t>
      </w:r>
    </w:p>
    <w:p>
      <w:r>
        <w:t>IT: DTF 87 III 64</w:t>
      </w:r>
    </w:p>
    <w:p>
      <w:pPr>
        <w:pStyle w:val="Heading2"/>
      </w:pPr>
      <w:r>
        <w:t>Regeste</w:t>
      </w:r>
    </w:p>
    <w:p>
      <w:r>
        <w:t>Regeste Verordnung Nr. 1 zum SchKG (Formulare und Register). Das Obligatorium der Verwendung amtlicher Formulare durch das Betreibungsamt ist als blosse Ordnungsvorschrift zu verstehen. Eine eindeutig abgefasste, alle für den Empfänger wesentlichen Angaben enthaltende und ihm in gehöriger Weise zugestellte Verfügung (hier: Ansetzung einer Klagefrist) ist, auch wenn nicht in einen formularmässigen Text gekleidet, rechtswirksam. (Erw. 1). Lastenbereinigung (Art. 140 SchKG, 37 und 39 VZG, 20 der Anleitung zur VZG). Ein Streit, der sich nicht auf Bestand oder Rang einer Grundpfandlast, sondern bloss auf die Person des derzeit berechtigten Gläubigers bezieht, ist nicht im Lastenbereinigungsverfahren auszutragen. Die Vorschrift des Art. 39 VZG über die Verteilung der Parteirollen ist auf einen solchen Streit nicht anwendbar. Das Betreibungsamt hat es den Streitenden zu überlassen, sich gütlich oder rechtlich auseinanderzusetzen; es darf weder dem einen noch dem andern eine Klagefrist ansetzen. (Erw. 2 und 3).</w:t>
      </w:r>
    </w:p>
    <w:p>
      <w:r>
        <w:t>Regeste Ordonnance no 1 sur les formules et registres à employer en matière de poursuites pour dettes et de faillites. L'obligation d'utiliser les formules officielles n'est, pour l'office des poursuites, qu'une prescription d'ordre. Lorsqu'une décisioncommuniquée régulièrement (en l'espèce, la fixation d'un délai d'action) est rédigée de manière non équivoque et contient tous les éléments essentiels pour son destinataire, elle produit ses effets même si elle ne se sert pas du texte de la formule (consid. 1). Epuration de l'état des charges (art. 140 LP, 37 et 39 ORI, 20 des Instructions de la Chambre des poursuites et des faillites du Tribunal fédéral). Le différend qui ne porte pas sur l'existence ou le rang d'un gage immobilier mais seulement sur la personne du créancier actuel ne doit pas être vidé dans la procédure d'épuration de l'état des charges. Le rôle assigné aux parties n'y est pas fixé par la prescription de l'art. 39 ORI. L'office des poursuites laissera aux parties le soin de s'arranger à l'amiable ou de recourir au juge et n'impartira ni à l'une ni à l'autre un délai pour ouvrir action (consid. 2 et 3).</w:t>
      </w:r>
    </w:p>
    <w:p>
      <w:r>
        <w:t>Regesto Ordinanza N. 1 per l'attuazione della LEF (formulari e registri). L'obbligo di servirsi dei moduli ufficiali è, per l'ufficio d'esecuzione, soltanto una prescrizione d'ordine. Una decisione comunicata regolarmente (nella fattispecie: fissazione di un termine per l'azione), redatta in modo non equivoco e contenente tutti gli elementi essenziali per il destinatario, produce i suoi effetti anche se non si attiene al testo del modulo (consid. 1). Epurazione dell'elenco oneri (art. 140 LEF, 37 e 39 RFF, 20 delle Istruzioni della Camera esecuzioni e fallimenti del TF). La contestazione che non riguarda l'esistenza o il rango di un pegno immobiliare ma solo la persona dell'attuale creditore non deve essere liquidata nella procedura d'epurazione dell'elenco degli oneri. Il ruolo assegnato alle parti non vi è stabilito dalla prescrizione dell'art. 39 RFF. L'ufficio d'esecuzione lascerà alle parti la cura di accordarsi bonalmente o di ricorrere al giudice e non assegnerà nè all'una nè all'altra un termine per promuovere l'azione (consid. 2 e 3).</w:t>
      </w:r>
    </w:p>
    <w:p>
      <w:pPr>
        <w:pStyle w:val="Heading2"/>
      </w:pPr>
      <w:r>
        <w:t>Erwägungen</w:t>
      </w:r>
    </w:p>
    <w:p>
      <w:r>
        <w:rPr>
          <w:b/>
        </w:rPr>
        <w:t>E. 1</w:t>
      </w:r>
    </w:p>
    <w:p>
      <w:r>
        <w:t>Wie die Vorinstanz richtig ausführt, hat der Rekurrent die Fristansetzung vom 9. Mai 1961 zu Unrecht in formeller Hinsicht beanstandet. Für die "Fristansetzung zur Klage auf Aberkennung eines Anspruches im Lastenverzeichnis" besteht zwar das obligatorische Formular VZG Nr. 1 la. Indessen ist das Obligatorium der Verwendung amtlicher Formulare im Betreibungsverfahren als blosse Ordnungsvorschrift zu verstehen. Eine eindeutig abgefasste, alle für den Empfänger wesentlichen Angaben enthaltende und ihm in gehöriger Weise zugestellte Verfügung ist, auch wenn in die Form eines nicht formularmässig lautenden Briefs gekleidet, rechtswirksam. Diese Voraussetzungen waren bei dem Briefe vom 9. Mai 1961 erfüllt. Da der Rekurrent selbst eine "Frist zur Klage" verlangt hatte, konnte für ihn nicht zweifelhaft sein, dass die Frist "zur Bestreitung der Gläubigerqualität der Herren Dr. J. Ackermann und Hans Gerber" als Klagefrist gemeint war.</w:t>
      </w:r>
    </w:p>
    <w:p>
      <w:r>
        <w:rPr>
          <w:b/>
        </w:rPr>
        <w:t>E. 2</w:t>
      </w:r>
    </w:p>
    <w:p>
      <w:r>
        <w:t>Wird ein in das Lastenverzeichnis aufgenommenes Recht bestritten, so ist, sofern dessen Bestand oder Rang vom Grundbucheintrag abhängt, die Klägerrolle nach Art. 39 VZG demjenigen zuzuweisen, der eine Abänderung oder die Löschung des Rechtes verlangt. Es hat also derjenige als Kläger aufzutreten, dessen Rechtsbehauptung den Einträgen des Grundbuches widerspricht (vgl. BGE 72 III 45 ff.). Diese Regel glaubt die Vorinstanz dem Rekurrenten gegenüber anwenden zu können, mit folgender Begründung: Der Bestand und Rang von Grundpfandrechten hange in der Tat von der Eintragung im Grundbuch BGE 87 III 64 S. 69 ab ( Art. 799 ZGB ), und wenn der Rekurrent alle vier im II. Rang stehenden Grundpfandverschreibungen für sich in Anspruch nehme, so widerspreche dies den Grundbucheinträgen, wonach drei dieser Pfandforderungen andere Gläubiger haben. Dieser Betrachtungsweise ist jedoch nicht zu folgen und Art. 39 VZG hier nicht anwendbar. Der Rekurrent bestreitet keine der im Lastenverzeichnis aufgeführten, dem Grundbuchauszug entnommenen Grundpfandverschreibungen nach Bestand und Rang. Er lässt diese Rechte durchaus gelten, so wie sie sich aus dem Grundbuchauszug ergeben und im Lastenverzeichnis anerkannt worden sind. Seine Bestreitung bezieht sich einzig auf die Person des Gläubigers einzelner dieser Grundpfandforderungen, und in dieser Hinsicht nimmt er freilich einen von den Angaben des seinerzeit vom Betreibungsamt eingeholten Grundbuchauszuges abweichenden Standpunkt ein. Allein über die Person des jeweiligen Gläubigers vermag das Grundbuch keine massgebende Auskunft zu geben. Der Erwerb einer Grundfandforderung hängt nicht von einer dahingehenden Eintragung ab, sondern der Wechsel eines Grundpfandgläubigers vollzieht sich ausserhalb des Grundbuches, was Art. 835 ZGB für die Grundpfandverschreibung ausdrücklich bestimmt. Eine Abtretung kann gemäss Art. 164 ff. OR gültig ohne Eintragung im Grundbuch erfolgen. Gewiss steht es dem Zessionar zu, sich in einem Hilfsregister des Grundbuchamtes, dem sog. Gläubigerregister, vermerken zu lassen, mit der Wirkung, dass das Grundbuchamt ihn fortan bei einer an die Grundpfandgläubiger zu machenden Mitteilung zu berücksichtigen hat. Einem solchen Vermerke kommt jedoch keine Grundbuchwirkung zu; er schliesst nicht aus, dass weitere Abtretungen gültig ohne Anzeige an das Grundbuchamt erfolgen können (vgl. Art. 66 der Grundbuchverordnung; BGE 40 II 597 ; OSTERTAG, 2. Auflage, N. 7 zu Art. 937 und N. 11 zu Art. 942 ZGB ). Auf diese Rechtslage nimmt auch die VZG Bedacht: Nach Art. 28 Abs. 2 hat das BGE 87 III 64 S. 70 Betreibungsamt die Angaben des Grundbuchauszuges über Namen und Wohnort der Pfandgläubiger durch Befragung des Schuldners nachzuprüfen und gegebenenfalls zu berichtigen.</w:t>
      </w:r>
    </w:p>
    <w:p>
      <w:r>
        <w:rPr>
          <w:b/>
        </w:rPr>
        <w:t>E. 3</w:t>
      </w:r>
    </w:p>
    <w:p>
      <w:r>
        <w:t>Lässt sich somit die von der Vorinstanz gebilligte Verteilung der Parteirollen nicht auf Art. 39 VZG stützen, so könnte dagegen als Grundlage ihrer Entscheidung der Umstand in Betracht gezogen werden, dass der letzte Zessionsvermerk auf einer der bei den betreibungsamtlichen Akten liegenden Vertragsurkunden (Grundpfandverschreibungen des II. Ranges), datiert vom 21. Juli 1959, auf Hans Gerber lautet (vgl. BGE 67 III 50 ff., BGE 79 III 162 /63). Indessen hat dieser selbst dem Betreibungsamt am 17. April 1961 (oben C) eine anscheinend auf besonderem Blatt erfolgte Weiterabtretung gemeldet; er will also nicht mehr als Titular dieser Grundpfandverschreibung gelten. Wie dem aber auch sein mag, gehört ein Streit über die Gläubigereigenschaft bei Grundpfandforderungen überhaupt nicht zur Lastenbereinigung, weshalb das Betreibungsamt weder dem einen noch dem andern Ansprecher eine Klagefrist anzusetzen berechtigt war. Wem die einzelnen auf dem Grundstück lastenden Pfandforderungen zustehen, ist für den Fortgang der Betreibung nicht von so wesentlicher Bedeutung, dass darüber anlässlich der Lastenbereinigung Klarheit geschaffen werden müsste. Die Lasten also solche werden durch eine solche Streitigkeit nicht berührt, weshalb sich die Verwertung ohne Rücksicht darauf durchführen lässt, wie anderseits die Grundpfandgläubiger nicht gehindert sind, über ihre Forderungen samt Nebenrechten auch während eines die Pfandliegenschaft betreffenden Verwertungsverfahrens zu verfügen. Es genügt, die Interessenten auf solche konkurrierende Ansprachen hinzuweisen, wie es hier durch eine Bemerkung in dem mit den Steigerungsbedingungen aufgelegten Lastenverzeichnis geschehen ist (vgl. BGE 76 III 44 unten/45). Art. 37 Abs. 2 VZG zieht denn auch Streitigkeiten über das Gläubigerrecht an Grundpfandforderungen BGE 87 III 64 S. 71 nicht als Gegenstand der Lastenbereinigung in Betracht. Die Beteiligten erhalten danach vielmehr bei Mitteilung des Lastenverzeichnisses eine Frist eingeräumt, binnen der sie "einen in dem Verzeichnis aufgeführten Anspruch nach Bestand, Umfang, Rang oder Fälligkeit" bestreiten können. Dementsprechend handelt es sich auch bei Art. 39 VZG um die Klagefristansetzung "an diejenigen, welche eine im Grundbuch eingetragene Last nach ihrem Bestande oder Range bestritten haben", wie Art. 20 der Anleitung zur VZG verdeutlicht. Übrigens ist das Betreibungs- oder Konkursamt auch im Verteilungsverfahren nicht befugt, einem von mehreren Ansprechern einer Forderung bzw. eines zur Verteilung gelangenden Betreffnisses eine Klagefrist anzusetzen. Hiebei befindet sich das Amt in derselben Lage wie der zivilrechtliche Schuldner einer von mehreren Personen angesprochenen Forderung. Es kann sich durch gerichtliche Hinterlegung befreien ( Art. 168 OR ) und hat es daher den Ansprechern anheimzustellen, sich gütlich oder gerichtlich auseinanderzusetzen (vgl. BGE 26 I 116 /17, BGE 29 I 616 , BGE 31 I 220 , BGE 39 I 535 = Sep.ausg. Band 3 S. 4/5, Bd. 6 S. 340, Bd. 8 S. 79/80, Bd. 16 S. 291, insbesondereBGE 68 III 53; ferner GUMOENS, De la procédure de collocation, p. 62). Somit ist die angefochtene Klagefristansetzung, soweit sie vor Bundesgericht streitig geblieben ist, aufzuheben, jedoch ohne dass an ihre Stelle eine neue Fristansetzung mit Umkehrung der Parteirollen zu treten hätte. Vielmehr haben sich die Betreibungsbehörden jeder derartigen Verfügung zu enthalten. Dispositiv Demnach erkennt die Schuldbetr.- u. Konkurskammer: Der Rekurs wird dahin gutgeheissen, dass die am 9. Mai 1961 erfolgte Ansetzung einer Frist zur Klage gegen Hans Gerber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