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109</w:t>
      </w:r>
    </w:p>
    <w:p>
      <w:r>
        <w:t>Bundesgericht (BGE), 1961-11-21, DE</w:t>
      </w:r>
    </w:p>
    <w:p>
      <w:r>
        <w:rPr>
          <w:b/>
        </w:rPr>
        <w:t xml:space="preserve">Quelle: </w:t>
      </w:r>
      <w:r>
        <w:t>https://mcp.opencaselaw.ch/entscheid/bge_BGE_87_III_109</w:t>
      </w:r>
    </w:p>
    <w:p>
      <w:r>
        <w:t>FR: ATF 87 III 109</w:t>
      </w:r>
    </w:p>
    <w:p>
      <w:r>
        <w:t>IT: DTF 87 III 109</w:t>
      </w:r>
    </w:p>
    <w:p>
      <w:pPr>
        <w:pStyle w:val="Heading2"/>
      </w:pPr>
      <w:r>
        <w:t>Regeste</w:t>
      </w:r>
    </w:p>
    <w:p>
      <w:r>
        <w:t>Regeste Verwertungsaufschub (Art. 123 SchKG). Dauer des Aufschubs; Höhe der Abschlagszahlungen. Diese Zahlungen sind nicht nach den für die Lohnpfändung geltenden Grundsätzen zu bemessen.</w:t>
      </w:r>
    </w:p>
    <w:p>
      <w:r>
        <w:t>Regeste Renvoi de la vente (art. 123 LP). Durée de la suspension; montant des acomptes. Ce montant ne doit pas être fixé d'après les principes applicables à la saisie de salaire.</w:t>
      </w:r>
    </w:p>
    <w:p>
      <w:r>
        <w:t>Regesto Differimento della vendita (art. 123 LEF). Durata del differimento; ammontare degli acconti. Questi non devono essere fissati secondo i principi applicabili al pignoramento di salario.</w:t>
      </w:r>
    </w:p>
    <w:p>
      <w:pPr>
        <w:pStyle w:val="Heading2"/>
      </w:pPr>
      <w:r>
        <w:t>Volltext</w:t>
      </w:r>
    </w:p>
    <w:p>
      <w:r>
        <w:t>Bundesgericht (BGE) Band III 1961 BGE 87 III 109 Tribunal fédéral (ATF) Volume III 1961 BGE 87 III 109 Tribunale federale (DTF) Volume III 1961 BGE 87 III 109</w:t>
      </w:r>
    </w:p>
    <w:p>
      <w:r>
        <w:t>Regeste Verwertungsaufschub (Art. 123 SchKG). Dauer des Aufschubs; Höhe der Abschlagszahlungen. Diese Zahlungen sind nicht nach den für die Lohnpfändung geltenden Grundsätzen zu bemessen. Regeste Renvoi de la vente (art. 123 LP). Durée de la suspension; montant des acomptes. Ce montant ne doit pas être fixé d'après les principes applicables à la saisie de salaire. Regesto Differimento della vendita (art. 123 LEF). Durata del differimento; ammontare degli acconti. Questi non devono essere fissati secondo i principi applicabili al pignoramento di salario.</w:t>
      </w:r>
    </w:p>
    <w:p>
      <w:r>
        <w:t>Urteilskopf 87 III 109 21. Entscheid vom 21. November 1961 i.S. Weiss. Regeste Verwertungsaufschub ( Art. 123 SchKG ). Dauer des Aufschubs; Höhe der Abschlagszahlungen. Diese Zahlungen sind nicht nach den für die Lohnpfändung geltenden Grundsätzen zu bemessen. Sachverhalt ab Seite 109 BGE 87 III 109 S. 109 In der von Weiss für eine Forderung von Fr. 512.-- gegen Brupbacher eingeleiteten Betreibung wurden Möbel im Schätzungswerte von Fr. 800.-- gepfändet. Nachdem der Gläubiger das Verwertungsbegehren gestellt hatte, suchte der Schuldner um einen Aufschub der Verwertung nach und leistete eine Abschlagszahlung von Fr. 70.-. Da das Betreibungsamt Bern 2 monatliche Raten von Fr. 150.-- verlangte, führte er Beschwerde mit dem Begehren, es seien ihm Achtelsraten zu bewilligen. Die BGE 87 III 109 S. 110 untere Aufsichtsbehörde wies die Beschwerde ab. Die kantonale Aufsichtsbehörde hat sie dagegen mit Entscheid vom 17. Oktober 1961 gutgeheissen. Mit dem vorliegenden Rekurs an das Bundesgericht verlangt der Gläubiger dem Sinne nach die Wiederherstellung der Verfügung des Betreibungsamtes. Die Schuldbetreibungs- und Konkurskammer weist den Rekurs ab. Erwägungen Erwägungen: Es ist unbestritten, dass dem Schuldner ein Verwertungsaufschub im Sinne von Art. 123 SchKG zu bewilligen ist. Ob ihm die Maximalfrist von sieben Monaten oder nur eine Frist von vier Monaten zu gewähren sei, ist eine Frage des Ermessens. Das Betreibungsamt und die untere Aufsichtsbehörde entschieden sich für vier Monate in der Erwägung, die Abschlagszahlungen seien nach den für die Lohnpfändung geltenden Grundsätzen zu bemessen; sie seien ungefähr auf den Betrag festzusetzen, der bei einer Lohnpfändung gepfändet werden könnte. Eine solche Regel lässt sich jedoch dem Gesetz nicht entnehmen. Bei der Festsetzung der Abschlagszahlungen im Sinne von Art. 123 SchKG dürfen auch Verbindlichkeiten berücksichtigt werden, die bei der Berechnung des Notbedarfs im Sinne von Art. 93 SchKG ausser Betracht fallen, vom Schuldner aber zur Vermeidung neuer Zwangsvollstreckungsmassnahmen erfüllt werden müssen (z.B. Steuerschulden). Indem die Vorinstanz die Verwertung in Würdigung der gesamten finanziellen Lage des Schuldners (insbesondere auch seiner Verpflichtung zur Leistung von Ratenzahlungen an das Steueramt) um sieben Monate aufschob und ihm demgemäss Achtelsraten bewilligte, hat sie also das Gesetz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