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219</w:t>
      </w:r>
    </w:p>
    <w:p>
      <w:r>
        <w:t>Bundesgericht (BGE), 1960-01-01, IT</w:t>
      </w:r>
    </w:p>
    <w:p>
      <w:r>
        <w:rPr>
          <w:b/>
        </w:rPr>
        <w:t xml:space="preserve">Quelle: </w:t>
      </w:r>
      <w:r>
        <w:t>https://mcp.opencaselaw.ch/entscheid/bge_BGE_86_I_219</w:t>
      </w:r>
    </w:p>
    <w:p>
      <w:r>
        <w:t>FR: ATF 86 I 219</w:t>
      </w:r>
    </w:p>
    <w:p>
      <w:r>
        <w:t>IT: DTF 86 I 219</w:t>
      </w:r>
    </w:p>
    <w:p>
      <w:pPr>
        <w:pStyle w:val="Heading2"/>
      </w:pPr>
      <w:r>
        <w:t>Regeste</w:t>
      </w:r>
    </w:p>
    <w:p>
      <w:r>
        <w:t>Regeste Kantonale Stempelabgabe auf Verträgen. Doppelbesteuerung. 1. Die tessinische Stempelabgabe ist eine Steuer, auf welche das Verbot der Doppelbesteuerung (Art. 46 Abs. 2 BV) anwendbar ist (Erw. a). 2. Kann der Kanton, auf dessen Gebiet die Vertragsurkunde errichtet wird, den Zessionar einer der Vertragsparteien auch dann für die Bezahlung der Stempelabgabe haftbar machen, wenn die Zession in einem andern Kanton erfolgt ist? (Frage offen gelassen. Erw. b). 3. Ein Kaufvertrag, in welchem gleichzeitig die Forderung des Verkäufers an einen Dritten abgetreten wird, untersteht der Steuerhoheit des Kantons, in welchem der Vertrag verurkundet wird, auch dann, wenn der in einem andern Kanton wohnhafte Zessionar sich die Genehmigung des Vertrags vorbehalten hat (Erw. c).</w:t>
      </w:r>
    </w:p>
    <w:p>
      <w:r>
        <w:t>Regeste Droit de timbre cantonal sur les contrats. Double imposition. 1. Le droit de timbre tessinois est un impôt auquel l'interdiction de la double imposition (art. 46 al. 2 Cst.) est applicable (consid. a). 2. Le canton sur le territoire duquel le document constatant le contrat a été établi peut-il rendre responsable du paiement du droit de timbre le cessionnaire de l'une des parties au contrat, lorsque la convention de cession a été conclue dans un autre canton? (question réservée, consid. b). 3. Un contrat de vente, dans lequel la créance du vendeur est en même temps cédée à un tiers, est soumis à la souveraineté fiscale du canton dans lequel le contrat a été instrumenté, même si le cessionnaire domicilié dans un autre canton s'est réservé de ratifier le contrat (consid. c).</w:t>
      </w:r>
    </w:p>
    <w:p>
      <w:r>
        <w:t>Regesto Tassa cantonale di bollo sui contratti. Divieto di doppia imposizione. 1. La tassa ticinese sul bollo costituisce un'imposta a cui si applica il divieto di doppia imposizione nel senso dell'art. 46 cp. 2 CF (consid. a). 2. Può il Cantone, nel cui territorio è avvenuta la documentazione del contratto, rendere responsabile del pagamento del bollo il successivo cessionario di una delle parti contraenti anche nel caso che la cessione sia stata stipulata in altro Cantone? (questione riservata, consid. b). 3. Un contratto di compravendita, nel quale sia contemporaneamente documentata la cessione ad un terzo del credito del venditore, soggiace alla sovranità fiscale del Cantone in cui il contratto è stato documentato pure nel caso che il cessionario, domiciliato in altro Cantone, si sia riservata l'approvazione dell'atto (consid. c).</w:t>
      </w:r>
    </w:p>
    <w:p>
      <w:pPr>
        <w:pStyle w:val="Heading2"/>
      </w:pPr>
      <w:r>
        <w:t>Erwägungen</w:t>
      </w:r>
    </w:p>
    <w:p>
      <w:r>
        <w:rPr>
          <w:b/>
        </w:rPr>
        <w:t>E. 1</w:t>
      </w:r>
    </w:p>
    <w:p>
      <w:r>
        <w:t>L'impugnata decisione dev'essere esaminata anzitutto in punto alle contestazioni del ricorrente di violazione del divieto di doppia imposizione. a) L'art. 5 num. 1 LB prescrive che "gli atti e contratti di valore determinato o determinabile superiore a 250 fr. sino a 1000 fr. devono essere stesi su carta da bollo di un franco". Secondo l'art. 6 della stessa legge, tali atti di valore superiore ai 1000 fr. "sono imposti in ragione di un franco per mille". Una simile contribuzione costituisce non una sportula o tassa di cancelleria perchè non è in rapporto con determinate prestazioni amministrative, nè un diritto fisso perchè illimitata, ma una contribuzione ad valorem, a scopi puramente fiscali, fondata unicamente sul generico BGE 86 I 219 S. 222 potere d'imposizione del Cantone. Si tratta quindi sostanzialmente di una imposta, a cui si applica il divieto di doppia imposizione previsto dall'art. 46 cp. 2 CF (RU 71 I 324 ss, 72 I 85, 81 I 24). b) Questa contribuzione, applicabile agli atti destinati a far fede in giudizio (art. 2 LB), spetta a quei cantoni nel cui territorio il relativo rapporto giuridico è stato documentato (RU 72 I 85, 81 I 24); com'è il caso per il contratto di compravendita stipulato fra la Progress-Vertrieb e B., che - come ammette anche la ricorrente - è stato redatto e firmato a Claro. L'autorità cantonale afferma che anche la cessione del credito è stata documentata a Claro contemporaneamente al contratto di compravendita, ma essa non annette a tale fatto un'importanza decisiva e non dichiara di aver sottoposto al bollo la documentazione del contratto di cessione. Secondo l'autorità ticinese sono responsabili per il pagamento del bollo proporzionale e delle relative multe tutte le persone che, presentando un documento steso nel Ticino in contravvenzione colle suesposte disposizioni legali, fanno valere diritti in proprio. Da questo ragionamento si deve conseguire che, in virtù dell'art. 43 lett. b LB, il cessionario sarebbe sempre responsabile dell'omissione del bollo imputabile al cedente, anche nel caso che la cessione sia stata documentata separamente al di fuori del territorio cantonale. c) La suesposta questione puà rimanere aperta, perchè in concreto la ricorrente è parte nel cosiddetto "Kaufvertrag" - in realtà un contratto misto di compravendita e di cessione - stipulato a Claro fra il rappresentante della Progress Vertrieb e B. Infatti, in questo contratto i rapporti della vendita e della cessione sono intimamente connessi e reciprocamente condizionati. La cessione del credito vi è prevista alla cifra 2, la quale stabilisce inoltre che il compratore può effettuare i suoi pagamenti rateali solo alla cessionaria. La cifra 5 autorizza BGE 86 I 219 S. 223 la cessionaria ad iscrivere la riserva della proprietà; la cifra 6 prescrive che il compratore è obbligato ad assicurare contro i danni l'oggetto comperato ed a cedere i relativi diritti alla Finanz &amp; Kredit AG Anche altre disposizioni contrattuali concernono obblighi e diritti intercorrenti direttamente fra il compratore e la cessionaria. Inoltre l'atto in questione è stato allestito su un formulario stampato e, pertanto, presuppone accordi fra la cedente e la cessionaria circa le condizioni da imporre al compratore e l'implicita autorizzazione della Finanz &amp; Kredit AG al rappresentante della Progress Vertrieb di proporre il contratto. La disposizione prevista sotto cifra 16 che riserva l'approvazione della cessionaria, si riferisce al "Kaufvertrag" e quindi, contrariamente a quanto afferma la ricorrente, non concerne particolarmente la cessione di credito, ma dimostra che la cessionaria non è estranea nemmeno al contratto di compravendita. D'altra parte la circostanza - affermata dalla ricorrente e contestata dall'autorità cantonale - secondo cui l'approvazione del contratto sarebbe stata espressa ad Aarau è irrilevante agli effetti della doppia imposizione, perchè la riserva dell'approvazione non impedisce la documentazione del contratto (RU 81 I 24, 25). Ciò premesso, l'autorità ticinese, sottoponendo la ricorrente all'obbligo del bollo, come una delle tre parti interessate nel contratto documentato a Claro, non ha violato il divieto costituzionale della doppia imposizione.</w:t>
      </w:r>
    </w:p>
    <w:p>
      <w:r>
        <w:rPr>
          <w:b/>
        </w:rPr>
        <w:t>E. 2</w:t>
      </w:r>
    </w:p>
    <w:p>
      <w:r>
        <w:t>(Questione dell'arbitrio).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